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7751A" w14:textId="2B08DF50" w:rsidR="00DC3BFA" w:rsidRPr="00E33E20" w:rsidRDefault="00DC3BFA" w:rsidP="009174FD">
      <w:pPr>
        <w:autoSpaceDE w:val="0"/>
        <w:autoSpaceDN w:val="0"/>
        <w:adjustRightInd w:val="0"/>
        <w:spacing w:after="0" w:line="240" w:lineRule="auto"/>
        <w:jc w:val="center"/>
        <w:rPr>
          <w:rFonts w:ascii="Arial" w:hAnsi="Arial" w:cs="Arial"/>
          <w:b/>
          <w:sz w:val="24"/>
          <w:szCs w:val="24"/>
          <w:lang w:val="en-US"/>
        </w:rPr>
      </w:pPr>
      <w:r w:rsidRPr="00E33E20">
        <w:rPr>
          <w:rFonts w:ascii="Arial" w:hAnsi="Arial" w:cs="Arial"/>
          <w:b/>
          <w:sz w:val="24"/>
          <w:szCs w:val="24"/>
          <w:lang w:val="en-US"/>
        </w:rPr>
        <w:t>R E P O R T</w:t>
      </w:r>
      <w:r w:rsidR="009174FD" w:rsidRPr="00E33E20">
        <w:rPr>
          <w:rFonts w:ascii="Arial" w:hAnsi="Arial" w:cs="Arial"/>
          <w:b/>
          <w:sz w:val="24"/>
          <w:szCs w:val="24"/>
          <w:lang w:val="en-US"/>
        </w:rPr>
        <w:t xml:space="preserve">, </w:t>
      </w:r>
      <w:r w:rsidRPr="00E33E20">
        <w:rPr>
          <w:rFonts w:ascii="Arial" w:hAnsi="Arial" w:cs="Arial"/>
          <w:b/>
          <w:sz w:val="24"/>
          <w:szCs w:val="24"/>
          <w:lang w:val="en-US"/>
        </w:rPr>
        <w:t>20</w:t>
      </w:r>
      <w:r w:rsidR="004C6598" w:rsidRPr="00E33E20">
        <w:rPr>
          <w:rFonts w:ascii="Arial" w:hAnsi="Arial" w:cs="Arial"/>
          <w:b/>
          <w:sz w:val="24"/>
          <w:szCs w:val="24"/>
          <w:lang w:val="en-US"/>
        </w:rPr>
        <w:t>2</w:t>
      </w:r>
      <w:r w:rsidR="003B4A83" w:rsidRPr="00E33E20">
        <w:rPr>
          <w:rFonts w:ascii="Arial" w:hAnsi="Arial" w:cs="Arial"/>
          <w:b/>
          <w:sz w:val="24"/>
          <w:szCs w:val="24"/>
          <w:lang w:val="en-US"/>
        </w:rPr>
        <w:t>5</w:t>
      </w:r>
    </w:p>
    <w:p w14:paraId="6AC4302C" w14:textId="77777777" w:rsidR="00DC3BFA" w:rsidRPr="00E33E20" w:rsidRDefault="00DC3BFA" w:rsidP="009174FD">
      <w:pPr>
        <w:autoSpaceDE w:val="0"/>
        <w:autoSpaceDN w:val="0"/>
        <w:adjustRightInd w:val="0"/>
        <w:spacing w:after="0" w:line="240" w:lineRule="auto"/>
        <w:jc w:val="both"/>
        <w:rPr>
          <w:rFonts w:ascii="Arial" w:hAnsi="Arial" w:cs="Arial"/>
          <w:sz w:val="24"/>
          <w:szCs w:val="24"/>
          <w:lang w:val="en-US"/>
        </w:rPr>
      </w:pPr>
    </w:p>
    <w:p w14:paraId="0378FE00" w14:textId="77777777" w:rsidR="00DC3BFA" w:rsidRPr="00E33E20" w:rsidRDefault="00DC3BFA" w:rsidP="009174FD">
      <w:pPr>
        <w:autoSpaceDE w:val="0"/>
        <w:autoSpaceDN w:val="0"/>
        <w:adjustRightInd w:val="0"/>
        <w:spacing w:after="0" w:line="240" w:lineRule="auto"/>
        <w:jc w:val="both"/>
        <w:rPr>
          <w:rFonts w:ascii="Arial" w:hAnsi="Arial" w:cs="Arial"/>
          <w:sz w:val="24"/>
          <w:szCs w:val="24"/>
          <w:lang w:val="en-US"/>
        </w:rPr>
      </w:pPr>
    </w:p>
    <w:p w14:paraId="53B4FCC6" w14:textId="45B99481" w:rsidR="00DC3BFA" w:rsidRPr="00E33E20" w:rsidRDefault="001573E8"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 xml:space="preserve">for the period </w:t>
      </w:r>
      <w:r w:rsidR="004C6598" w:rsidRPr="00E33E20">
        <w:rPr>
          <w:rFonts w:ascii="Arial" w:hAnsi="Arial" w:cs="Arial"/>
          <w:b/>
          <w:bCs/>
          <w:sz w:val="24"/>
          <w:szCs w:val="24"/>
          <w:lang w:val="en-US"/>
        </w:rPr>
        <w:t xml:space="preserve">from September </w:t>
      </w:r>
      <w:r w:rsidR="00BF27E2" w:rsidRPr="00E33E20">
        <w:rPr>
          <w:rFonts w:ascii="Arial" w:hAnsi="Arial" w:cs="Arial"/>
          <w:b/>
          <w:bCs/>
          <w:sz w:val="24"/>
          <w:szCs w:val="24"/>
          <w:lang w:val="en-US"/>
        </w:rPr>
        <w:t>20</w:t>
      </w:r>
      <w:r w:rsidR="006B6029" w:rsidRPr="00E33E20">
        <w:rPr>
          <w:rFonts w:ascii="Arial" w:hAnsi="Arial" w:cs="Arial"/>
          <w:b/>
          <w:bCs/>
          <w:sz w:val="24"/>
          <w:szCs w:val="24"/>
          <w:lang w:val="en-US"/>
        </w:rPr>
        <w:t>22</w:t>
      </w:r>
      <w:r w:rsidR="004C6598" w:rsidRPr="00E33E20">
        <w:rPr>
          <w:rFonts w:ascii="Arial" w:hAnsi="Arial" w:cs="Arial"/>
          <w:b/>
          <w:bCs/>
          <w:sz w:val="24"/>
          <w:szCs w:val="24"/>
          <w:lang w:val="en-US"/>
        </w:rPr>
        <w:t xml:space="preserve"> </w:t>
      </w:r>
      <w:r w:rsidR="00DC3BFA" w:rsidRPr="00E33E20">
        <w:rPr>
          <w:rFonts w:ascii="Arial" w:hAnsi="Arial" w:cs="Arial"/>
          <w:b/>
          <w:sz w:val="24"/>
          <w:szCs w:val="24"/>
          <w:lang w:val="en-US"/>
        </w:rPr>
        <w:t>to</w:t>
      </w:r>
      <w:r w:rsidRPr="00E33E20">
        <w:rPr>
          <w:rFonts w:ascii="Arial" w:hAnsi="Arial" w:cs="Arial"/>
          <w:b/>
          <w:sz w:val="24"/>
          <w:szCs w:val="24"/>
          <w:lang w:val="en-US"/>
        </w:rPr>
        <w:t xml:space="preserve"> September</w:t>
      </w:r>
      <w:r w:rsidR="00DC3BFA" w:rsidRPr="00E33E20">
        <w:rPr>
          <w:rFonts w:ascii="Arial" w:hAnsi="Arial" w:cs="Arial"/>
          <w:b/>
          <w:sz w:val="24"/>
          <w:szCs w:val="24"/>
          <w:lang w:val="en-US"/>
        </w:rPr>
        <w:t xml:space="preserve"> 20</w:t>
      </w:r>
      <w:r w:rsidR="004C6598" w:rsidRPr="00E33E20">
        <w:rPr>
          <w:rFonts w:ascii="Arial" w:hAnsi="Arial" w:cs="Arial"/>
          <w:b/>
          <w:sz w:val="24"/>
          <w:szCs w:val="24"/>
          <w:lang w:val="en-US"/>
        </w:rPr>
        <w:t>2</w:t>
      </w:r>
      <w:r w:rsidR="006B6029" w:rsidRPr="00E33E20">
        <w:rPr>
          <w:rFonts w:ascii="Arial" w:hAnsi="Arial" w:cs="Arial"/>
          <w:b/>
          <w:sz w:val="24"/>
          <w:szCs w:val="24"/>
          <w:lang w:val="en-US"/>
        </w:rPr>
        <w:t>5</w:t>
      </w:r>
      <w:r w:rsidR="00DC3BFA" w:rsidRPr="00E33E20">
        <w:rPr>
          <w:rFonts w:ascii="Arial" w:hAnsi="Arial" w:cs="Arial"/>
          <w:sz w:val="24"/>
          <w:szCs w:val="24"/>
          <w:lang w:val="en-US"/>
        </w:rPr>
        <w:t xml:space="preserve">, made by the </w:t>
      </w:r>
      <w:r w:rsidR="00DC3BFA" w:rsidRPr="00E33E20">
        <w:rPr>
          <w:rFonts w:ascii="Arial" w:hAnsi="Arial" w:cs="Arial"/>
          <w:b/>
          <w:bCs/>
          <w:sz w:val="24"/>
          <w:szCs w:val="24"/>
          <w:lang w:val="en-US"/>
        </w:rPr>
        <w:t>Government of Estonia</w:t>
      </w:r>
      <w:r w:rsidR="00DC3BFA" w:rsidRPr="00E33E20">
        <w:rPr>
          <w:rFonts w:ascii="Arial" w:hAnsi="Arial" w:cs="Arial"/>
          <w:sz w:val="24"/>
          <w:szCs w:val="24"/>
          <w:lang w:val="en-US"/>
        </w:rPr>
        <w:t xml:space="preserve">, in accordance with article 22 of the Constitution of the International Labour </w:t>
      </w:r>
      <w:proofErr w:type="spellStart"/>
      <w:r w:rsidR="00DC3BFA" w:rsidRPr="00E33E20">
        <w:rPr>
          <w:rFonts w:ascii="Arial" w:hAnsi="Arial" w:cs="Arial"/>
          <w:sz w:val="24"/>
          <w:szCs w:val="24"/>
          <w:lang w:val="en-US"/>
        </w:rPr>
        <w:t>Organisation</w:t>
      </w:r>
      <w:proofErr w:type="spellEnd"/>
      <w:r w:rsidR="00DC3BFA" w:rsidRPr="00E33E20">
        <w:rPr>
          <w:rFonts w:ascii="Arial" w:hAnsi="Arial" w:cs="Arial"/>
          <w:sz w:val="24"/>
          <w:szCs w:val="24"/>
          <w:lang w:val="en-US"/>
        </w:rPr>
        <w:t>, on the measures taken to give effect to the provisions of the</w:t>
      </w:r>
    </w:p>
    <w:p w14:paraId="6387F0B0" w14:textId="77777777" w:rsidR="00570759" w:rsidRPr="00E33E20" w:rsidRDefault="00570759" w:rsidP="009174FD">
      <w:pPr>
        <w:autoSpaceDE w:val="0"/>
        <w:autoSpaceDN w:val="0"/>
        <w:adjustRightInd w:val="0"/>
        <w:spacing w:after="0" w:line="240" w:lineRule="auto"/>
        <w:jc w:val="both"/>
        <w:rPr>
          <w:rFonts w:ascii="Arial" w:hAnsi="Arial" w:cs="Arial"/>
          <w:b/>
          <w:bCs/>
          <w:sz w:val="24"/>
          <w:szCs w:val="24"/>
          <w:lang w:val="en-US"/>
        </w:rPr>
      </w:pPr>
    </w:p>
    <w:p w14:paraId="233BB2DB" w14:textId="210ADE2C" w:rsidR="00462561" w:rsidRPr="00E33E20" w:rsidRDefault="00B83AB1" w:rsidP="009174FD">
      <w:pPr>
        <w:autoSpaceDE w:val="0"/>
        <w:autoSpaceDN w:val="0"/>
        <w:adjustRightInd w:val="0"/>
        <w:spacing w:after="0" w:line="240" w:lineRule="auto"/>
        <w:jc w:val="center"/>
        <w:rPr>
          <w:rFonts w:ascii="Arial" w:hAnsi="Arial" w:cs="Arial"/>
          <w:b/>
          <w:bCs/>
          <w:sz w:val="24"/>
          <w:szCs w:val="24"/>
          <w:lang w:val="en-US"/>
        </w:rPr>
      </w:pPr>
      <w:r w:rsidRPr="00E33E20">
        <w:rPr>
          <w:rFonts w:ascii="Arial" w:hAnsi="Arial" w:cs="Arial"/>
          <w:b/>
          <w:bCs/>
          <w:sz w:val="24"/>
          <w:szCs w:val="24"/>
          <w:lang w:val="en-US"/>
        </w:rPr>
        <w:t>Equal Remuneration</w:t>
      </w:r>
      <w:r w:rsidR="00DC3BFA" w:rsidRPr="00E33E20">
        <w:rPr>
          <w:rFonts w:ascii="Arial" w:hAnsi="Arial" w:cs="Arial"/>
          <w:b/>
          <w:bCs/>
          <w:sz w:val="24"/>
          <w:szCs w:val="24"/>
          <w:lang w:val="en-US"/>
        </w:rPr>
        <w:t xml:space="preserve"> Convention, 19</w:t>
      </w:r>
      <w:r w:rsidRPr="00E33E20">
        <w:rPr>
          <w:rFonts w:ascii="Arial" w:hAnsi="Arial" w:cs="Arial"/>
          <w:b/>
          <w:bCs/>
          <w:sz w:val="24"/>
          <w:szCs w:val="24"/>
          <w:lang w:val="en-US"/>
        </w:rPr>
        <w:t>51</w:t>
      </w:r>
      <w:r w:rsidR="00DC3BFA" w:rsidRPr="00E33E20">
        <w:rPr>
          <w:rFonts w:ascii="Arial" w:hAnsi="Arial" w:cs="Arial"/>
          <w:b/>
          <w:bCs/>
          <w:sz w:val="24"/>
          <w:szCs w:val="24"/>
          <w:lang w:val="en-US"/>
        </w:rPr>
        <w:t xml:space="preserve"> (No. </w:t>
      </w:r>
      <w:r w:rsidRPr="00E33E20">
        <w:rPr>
          <w:rFonts w:ascii="Arial" w:hAnsi="Arial" w:cs="Arial"/>
          <w:b/>
          <w:bCs/>
          <w:sz w:val="24"/>
          <w:szCs w:val="24"/>
          <w:lang w:val="en-US"/>
        </w:rPr>
        <w:t>100</w:t>
      </w:r>
      <w:r w:rsidR="00DC3BFA" w:rsidRPr="00E33E20">
        <w:rPr>
          <w:rFonts w:ascii="Arial" w:hAnsi="Arial" w:cs="Arial"/>
          <w:b/>
          <w:bCs/>
          <w:sz w:val="24"/>
          <w:szCs w:val="24"/>
          <w:lang w:val="en-US"/>
        </w:rPr>
        <w:t>)</w:t>
      </w:r>
    </w:p>
    <w:p w14:paraId="58592D2E" w14:textId="77777777" w:rsidR="00F02C5F" w:rsidRPr="00E33E20" w:rsidRDefault="00F02C5F" w:rsidP="009174FD">
      <w:pPr>
        <w:autoSpaceDE w:val="0"/>
        <w:autoSpaceDN w:val="0"/>
        <w:adjustRightInd w:val="0"/>
        <w:spacing w:after="0" w:line="240" w:lineRule="auto"/>
        <w:jc w:val="both"/>
        <w:rPr>
          <w:rFonts w:ascii="Arial" w:hAnsi="Arial" w:cs="Arial"/>
          <w:b/>
          <w:bCs/>
          <w:sz w:val="24"/>
          <w:szCs w:val="24"/>
          <w:lang w:val="en-US"/>
        </w:rPr>
      </w:pPr>
    </w:p>
    <w:p w14:paraId="4B6E0443" w14:textId="77777777" w:rsidR="00F02C5F" w:rsidRPr="00E33E20" w:rsidRDefault="00F02C5F" w:rsidP="009174FD">
      <w:pPr>
        <w:spacing w:after="0" w:line="240" w:lineRule="auto"/>
        <w:jc w:val="both"/>
        <w:rPr>
          <w:rFonts w:ascii="Arial" w:hAnsi="Arial" w:cs="Arial"/>
          <w:bCs/>
          <w:sz w:val="24"/>
          <w:szCs w:val="24"/>
          <w:lang w:val="en-US"/>
        </w:rPr>
      </w:pPr>
      <w:r w:rsidRPr="00E33E20">
        <w:rPr>
          <w:rFonts w:ascii="Arial" w:hAnsi="Arial" w:cs="Arial"/>
          <w:bCs/>
          <w:sz w:val="24"/>
          <w:szCs w:val="24"/>
          <w:lang w:val="en-US"/>
        </w:rPr>
        <w:t>There have been no amendments to the relevant legislation compared to the previous reporting period.</w:t>
      </w:r>
    </w:p>
    <w:p w14:paraId="25A87A71" w14:textId="77777777" w:rsidR="00F02C5F" w:rsidRPr="00E33E20" w:rsidRDefault="00F02C5F" w:rsidP="009174FD">
      <w:pPr>
        <w:autoSpaceDE w:val="0"/>
        <w:autoSpaceDN w:val="0"/>
        <w:adjustRightInd w:val="0"/>
        <w:spacing w:after="0" w:line="240" w:lineRule="auto"/>
        <w:jc w:val="both"/>
        <w:rPr>
          <w:rFonts w:ascii="Arial" w:hAnsi="Arial" w:cs="Arial"/>
          <w:b/>
          <w:bCs/>
          <w:sz w:val="24"/>
          <w:szCs w:val="24"/>
          <w:lang w:val="en-US"/>
        </w:rPr>
      </w:pPr>
    </w:p>
    <w:p w14:paraId="0128243B" w14:textId="77777777" w:rsidR="00BA70C0" w:rsidRPr="00E33E20" w:rsidRDefault="00BA70C0" w:rsidP="009174FD">
      <w:pPr>
        <w:spacing w:after="0" w:line="240" w:lineRule="auto"/>
        <w:jc w:val="both"/>
        <w:rPr>
          <w:rFonts w:ascii="Arial" w:hAnsi="Arial" w:cs="Arial"/>
          <w:bCs/>
          <w:sz w:val="24"/>
          <w:szCs w:val="24"/>
          <w:u w:val="single"/>
          <w:lang w:val="en-US"/>
        </w:rPr>
      </w:pPr>
      <w:proofErr w:type="gramStart"/>
      <w:r w:rsidRPr="00E33E20">
        <w:rPr>
          <w:rFonts w:ascii="Arial" w:hAnsi="Arial" w:cs="Arial"/>
          <w:bCs/>
          <w:sz w:val="24"/>
          <w:szCs w:val="24"/>
          <w:u w:val="single"/>
          <w:lang w:val="en-US"/>
        </w:rPr>
        <w:t>Taking into account</w:t>
      </w:r>
      <w:proofErr w:type="gramEnd"/>
      <w:r w:rsidRPr="00E33E20">
        <w:rPr>
          <w:rFonts w:ascii="Arial" w:hAnsi="Arial" w:cs="Arial"/>
          <w:bCs/>
          <w:sz w:val="24"/>
          <w:szCs w:val="24"/>
          <w:u w:val="single"/>
          <w:lang w:val="en-US"/>
        </w:rPr>
        <w:t xml:space="preserve"> the relevant comments of the CEACR, we would like to give the following information:</w:t>
      </w:r>
    </w:p>
    <w:p w14:paraId="785C18F4" w14:textId="77777777" w:rsidR="00DD061D" w:rsidRPr="00E33E20" w:rsidRDefault="00DD061D" w:rsidP="009174FD">
      <w:pPr>
        <w:spacing w:after="0" w:line="240" w:lineRule="auto"/>
        <w:jc w:val="both"/>
        <w:rPr>
          <w:rFonts w:ascii="Arial" w:hAnsi="Arial" w:cs="Arial"/>
          <w:bCs/>
          <w:sz w:val="24"/>
          <w:szCs w:val="24"/>
          <w:lang w:val="en-US"/>
        </w:rPr>
      </w:pPr>
    </w:p>
    <w:p w14:paraId="03D45AF4" w14:textId="7FEE8A52" w:rsidR="00CB61F7" w:rsidRPr="00E33E20" w:rsidRDefault="00CB61F7" w:rsidP="009174FD">
      <w:pPr>
        <w:spacing w:after="0" w:line="240" w:lineRule="auto"/>
        <w:jc w:val="both"/>
        <w:rPr>
          <w:rFonts w:ascii="Arial" w:hAnsi="Arial" w:cs="Arial"/>
          <w:b/>
          <w:bCs/>
          <w:sz w:val="24"/>
          <w:szCs w:val="24"/>
          <w:lang w:val="en-US"/>
        </w:rPr>
      </w:pPr>
      <w:r w:rsidRPr="00E33E20">
        <w:rPr>
          <w:rFonts w:ascii="Arial" w:hAnsi="Arial" w:cs="Arial"/>
          <w:b/>
          <w:bCs/>
          <w:sz w:val="24"/>
          <w:szCs w:val="24"/>
          <w:lang w:val="en-US"/>
        </w:rPr>
        <w:t xml:space="preserve">Gender </w:t>
      </w:r>
      <w:proofErr w:type="gramStart"/>
      <w:r w:rsidRPr="00E33E20">
        <w:rPr>
          <w:rFonts w:ascii="Arial" w:hAnsi="Arial" w:cs="Arial"/>
          <w:b/>
          <w:bCs/>
          <w:sz w:val="24"/>
          <w:szCs w:val="24"/>
          <w:lang w:val="en-US"/>
        </w:rPr>
        <w:t>pay</w:t>
      </w:r>
      <w:proofErr w:type="gramEnd"/>
      <w:r w:rsidRPr="00E33E20">
        <w:rPr>
          <w:rFonts w:ascii="Arial" w:hAnsi="Arial" w:cs="Arial"/>
          <w:b/>
          <w:bCs/>
          <w:sz w:val="24"/>
          <w:szCs w:val="24"/>
          <w:lang w:val="en-US"/>
        </w:rPr>
        <w:t xml:space="preserve"> gap</w:t>
      </w:r>
    </w:p>
    <w:p w14:paraId="30889BF9" w14:textId="77777777" w:rsidR="00CB61F7" w:rsidRPr="00E33E20" w:rsidRDefault="00CB61F7" w:rsidP="009174FD">
      <w:pPr>
        <w:spacing w:after="0" w:line="240" w:lineRule="auto"/>
        <w:jc w:val="both"/>
        <w:rPr>
          <w:rFonts w:ascii="Arial" w:hAnsi="Arial" w:cs="Arial"/>
          <w:b/>
          <w:sz w:val="24"/>
          <w:szCs w:val="24"/>
          <w:lang w:val="en-US"/>
        </w:rPr>
      </w:pPr>
    </w:p>
    <w:p w14:paraId="5A2884C4" w14:textId="679DF21E" w:rsidR="00523A1B" w:rsidRPr="00E33E20" w:rsidRDefault="00523A1B" w:rsidP="009174FD">
      <w:pPr>
        <w:pStyle w:val="Kehatekst"/>
        <w:ind w:right="176"/>
        <w:jc w:val="both"/>
        <w:rPr>
          <w:sz w:val="24"/>
          <w:szCs w:val="24"/>
        </w:rPr>
      </w:pPr>
      <w:r w:rsidRPr="00E33E20">
        <w:rPr>
          <w:sz w:val="24"/>
          <w:szCs w:val="24"/>
        </w:rPr>
        <w:t xml:space="preserve">In 2023, the gender pay gap reached a historic low of 13.1%, down from over 20% a decade ago. In 2024, the gender pay gap remained stable and was 13,2%. The gender pay gap by field of activities is presented in the table below. The gender employment gap is low, at 1.5%. The share of women in managerial positions was 39,7% in 2024. Disaggregated data by sector and occupation is available through the </w:t>
      </w:r>
      <w:hyperlink r:id="rId11" w:history="1">
        <w:r w:rsidRPr="00E33E20">
          <w:rPr>
            <w:rStyle w:val="Hperlink"/>
            <w:color w:val="auto"/>
            <w:sz w:val="24"/>
            <w:szCs w:val="24"/>
          </w:rPr>
          <w:t>Earnings Application and Labour Market Application</w:t>
        </w:r>
      </w:hyperlink>
      <w:r w:rsidRPr="00E33E20">
        <w:rPr>
          <w:sz w:val="24"/>
          <w:szCs w:val="24"/>
        </w:rPr>
        <w:t>, which allow users to compare wages by sex, county, age and occupation. Eurostat data from 2023 demonstrates, that Estonia’s gender pay gap has decreased considerable and was 16,9% in 2023 (EU average is 12%).</w:t>
      </w:r>
    </w:p>
    <w:p w14:paraId="5F7A4624" w14:textId="77777777" w:rsidR="00523A1B" w:rsidRPr="00E33E20" w:rsidRDefault="00523A1B" w:rsidP="009174FD">
      <w:pPr>
        <w:pStyle w:val="Kehatekst"/>
        <w:ind w:left="419" w:right="176"/>
        <w:jc w:val="both"/>
        <w:rPr>
          <w:i/>
          <w:iCs/>
          <w:sz w:val="24"/>
          <w:szCs w:val="24"/>
        </w:rPr>
      </w:pPr>
    </w:p>
    <w:p w14:paraId="2091FD7A" w14:textId="7160C11D" w:rsidR="00AE6E8A" w:rsidRPr="00E33E20" w:rsidRDefault="00523A1B" w:rsidP="009174FD">
      <w:pPr>
        <w:pStyle w:val="Kehatekst"/>
        <w:ind w:left="419" w:right="174" w:firstLine="276"/>
        <w:jc w:val="both"/>
        <w:rPr>
          <w:i/>
          <w:iCs/>
          <w:sz w:val="24"/>
          <w:szCs w:val="24"/>
        </w:rPr>
      </w:pPr>
      <w:r w:rsidRPr="00E33E20">
        <w:rPr>
          <w:i/>
          <w:iCs/>
          <w:sz w:val="24"/>
          <w:szCs w:val="24"/>
        </w:rPr>
        <w:t xml:space="preserve">Table: Gender </w:t>
      </w:r>
      <w:proofErr w:type="gramStart"/>
      <w:r w:rsidRPr="00E33E20">
        <w:rPr>
          <w:i/>
          <w:iCs/>
          <w:sz w:val="24"/>
          <w:szCs w:val="24"/>
        </w:rPr>
        <w:t>pay</w:t>
      </w:r>
      <w:proofErr w:type="gramEnd"/>
      <w:r w:rsidRPr="00E33E20">
        <w:rPr>
          <w:i/>
          <w:iCs/>
          <w:sz w:val="24"/>
          <w:szCs w:val="24"/>
        </w:rPr>
        <w:t xml:space="preserve"> gap</w:t>
      </w:r>
      <w:r w:rsidR="00D907F5" w:rsidRPr="00E33E20">
        <w:rPr>
          <w:i/>
          <w:iCs/>
          <w:sz w:val="24"/>
          <w:szCs w:val="24"/>
        </w:rPr>
        <w:t xml:space="preserve"> </w:t>
      </w:r>
      <w:r w:rsidRPr="00E33E20">
        <w:rPr>
          <w:i/>
          <w:iCs/>
          <w:sz w:val="24"/>
          <w:szCs w:val="24"/>
        </w:rPr>
        <w:t>by economic activity</w:t>
      </w:r>
      <w:r w:rsidR="00FF227A" w:rsidRPr="00E33E20">
        <w:rPr>
          <w:i/>
          <w:iCs/>
          <w:sz w:val="24"/>
          <w:szCs w:val="24"/>
        </w:rPr>
        <w:t>, %</w:t>
      </w:r>
      <w:r w:rsidR="003A16E8" w:rsidRPr="00E33E20">
        <w:rPr>
          <w:i/>
          <w:iCs/>
          <w:sz w:val="24"/>
          <w:szCs w:val="24"/>
        </w:rPr>
        <w:t>,</w:t>
      </w:r>
      <w:r w:rsidRPr="00E33E20">
        <w:rPr>
          <w:i/>
          <w:iCs/>
          <w:sz w:val="24"/>
          <w:szCs w:val="24"/>
        </w:rPr>
        <w:t xml:space="preserve"> 2020-2024, Statistics Estonia</w:t>
      </w:r>
    </w:p>
    <w:p w14:paraId="4AAA955D" w14:textId="1B16BCF6" w:rsidR="003170D5" w:rsidRPr="00E33E20" w:rsidRDefault="003170D5" w:rsidP="009174FD">
      <w:pPr>
        <w:spacing w:after="0" w:line="240" w:lineRule="auto"/>
        <w:jc w:val="both"/>
        <w:rPr>
          <w:rFonts w:ascii="Arial" w:eastAsia="Calibri" w:hAnsi="Arial" w:cs="Arial"/>
          <w:sz w:val="24"/>
          <w:szCs w:val="24"/>
          <w:lang w:val="en-US"/>
        </w:rPr>
      </w:pPr>
    </w:p>
    <w:tbl>
      <w:tblPr>
        <w:tblStyle w:val="Helekontuurtabel"/>
        <w:tblW w:w="0" w:type="auto"/>
        <w:tblLook w:val="0420" w:firstRow="1" w:lastRow="0" w:firstColumn="0" w:lastColumn="0" w:noHBand="0" w:noVBand="1"/>
      </w:tblPr>
      <w:tblGrid>
        <w:gridCol w:w="5312"/>
        <w:gridCol w:w="750"/>
        <w:gridCol w:w="750"/>
        <w:gridCol w:w="750"/>
        <w:gridCol w:w="750"/>
        <w:gridCol w:w="750"/>
      </w:tblGrid>
      <w:tr w:rsidR="00746C7E" w:rsidRPr="00E33E20" w14:paraId="2A5369B8" w14:textId="77777777" w:rsidTr="002941C5">
        <w:tc>
          <w:tcPr>
            <w:tcW w:w="5524" w:type="dxa"/>
          </w:tcPr>
          <w:p w14:paraId="46749038" w14:textId="5D0B835F" w:rsidR="003170D5" w:rsidRPr="00E33E20" w:rsidRDefault="003170D5" w:rsidP="009174FD">
            <w:pPr>
              <w:jc w:val="both"/>
              <w:rPr>
                <w:rFonts w:ascii="Arial" w:hAnsi="Arial" w:cs="Arial"/>
                <w:b/>
                <w:bCs/>
                <w:sz w:val="24"/>
                <w:szCs w:val="24"/>
                <w:lang w:val="en-US"/>
              </w:rPr>
            </w:pPr>
            <w:r w:rsidRPr="00E33E20">
              <w:rPr>
                <w:rFonts w:ascii="Arial" w:hAnsi="Arial" w:cs="Arial"/>
                <w:b/>
                <w:bCs/>
                <w:sz w:val="24"/>
                <w:szCs w:val="24"/>
                <w:lang w:val="en-US"/>
              </w:rPr>
              <w:t>Activity</w:t>
            </w:r>
          </w:p>
        </w:tc>
        <w:tc>
          <w:tcPr>
            <w:tcW w:w="708" w:type="dxa"/>
          </w:tcPr>
          <w:p w14:paraId="00CD8B0A" w14:textId="1DBBB0F3" w:rsidR="003170D5" w:rsidRPr="00E33E20" w:rsidRDefault="003170D5" w:rsidP="009174FD">
            <w:pPr>
              <w:jc w:val="both"/>
              <w:rPr>
                <w:rFonts w:ascii="Arial" w:hAnsi="Arial" w:cs="Arial"/>
                <w:b/>
                <w:bCs/>
                <w:sz w:val="24"/>
                <w:szCs w:val="24"/>
                <w:lang w:val="en-US"/>
              </w:rPr>
            </w:pPr>
            <w:r w:rsidRPr="00E33E20">
              <w:rPr>
                <w:rFonts w:ascii="Arial" w:hAnsi="Arial" w:cs="Arial"/>
                <w:b/>
                <w:bCs/>
                <w:sz w:val="24"/>
                <w:szCs w:val="24"/>
                <w:lang w:val="en-US"/>
              </w:rPr>
              <w:t>2020</w:t>
            </w:r>
          </w:p>
        </w:tc>
        <w:tc>
          <w:tcPr>
            <w:tcW w:w="709" w:type="dxa"/>
          </w:tcPr>
          <w:p w14:paraId="685BB82D" w14:textId="44802129" w:rsidR="003170D5" w:rsidRPr="00E33E20" w:rsidRDefault="003170D5" w:rsidP="009174FD">
            <w:pPr>
              <w:jc w:val="both"/>
              <w:rPr>
                <w:rFonts w:ascii="Arial" w:hAnsi="Arial" w:cs="Arial"/>
                <w:b/>
                <w:bCs/>
                <w:sz w:val="24"/>
                <w:szCs w:val="24"/>
                <w:lang w:val="en-US"/>
              </w:rPr>
            </w:pPr>
            <w:r w:rsidRPr="00E33E20">
              <w:rPr>
                <w:rFonts w:ascii="Arial" w:hAnsi="Arial" w:cs="Arial"/>
                <w:b/>
                <w:bCs/>
                <w:sz w:val="24"/>
                <w:szCs w:val="24"/>
                <w:lang w:val="en-US"/>
              </w:rPr>
              <w:t>2021</w:t>
            </w:r>
          </w:p>
        </w:tc>
        <w:tc>
          <w:tcPr>
            <w:tcW w:w="709" w:type="dxa"/>
          </w:tcPr>
          <w:p w14:paraId="21B5835F" w14:textId="0284F54B" w:rsidR="003170D5" w:rsidRPr="00E33E20" w:rsidRDefault="003170D5" w:rsidP="009174FD">
            <w:pPr>
              <w:jc w:val="both"/>
              <w:rPr>
                <w:rFonts w:ascii="Arial" w:hAnsi="Arial" w:cs="Arial"/>
                <w:b/>
                <w:bCs/>
                <w:sz w:val="24"/>
                <w:szCs w:val="24"/>
                <w:lang w:val="en-US"/>
              </w:rPr>
            </w:pPr>
            <w:r w:rsidRPr="00E33E20">
              <w:rPr>
                <w:rFonts w:ascii="Arial" w:hAnsi="Arial" w:cs="Arial"/>
                <w:b/>
                <w:bCs/>
                <w:sz w:val="24"/>
                <w:szCs w:val="24"/>
                <w:lang w:val="en-US"/>
              </w:rPr>
              <w:t>2022</w:t>
            </w:r>
          </w:p>
        </w:tc>
        <w:tc>
          <w:tcPr>
            <w:tcW w:w="749" w:type="dxa"/>
          </w:tcPr>
          <w:p w14:paraId="4B7D9D77" w14:textId="41C2F817" w:rsidR="003170D5" w:rsidRPr="00E33E20" w:rsidRDefault="003170D5" w:rsidP="009174FD">
            <w:pPr>
              <w:jc w:val="both"/>
              <w:rPr>
                <w:rFonts w:ascii="Arial" w:hAnsi="Arial" w:cs="Arial"/>
                <w:b/>
                <w:bCs/>
                <w:sz w:val="24"/>
                <w:szCs w:val="24"/>
                <w:lang w:val="en-US"/>
              </w:rPr>
            </w:pPr>
            <w:r w:rsidRPr="00E33E20">
              <w:rPr>
                <w:rFonts w:ascii="Arial" w:hAnsi="Arial" w:cs="Arial"/>
                <w:b/>
                <w:bCs/>
                <w:sz w:val="24"/>
                <w:szCs w:val="24"/>
                <w:lang w:val="en-US"/>
              </w:rPr>
              <w:t>2023</w:t>
            </w:r>
          </w:p>
        </w:tc>
        <w:tc>
          <w:tcPr>
            <w:tcW w:w="0" w:type="auto"/>
          </w:tcPr>
          <w:p w14:paraId="2D0EC2C9" w14:textId="6FB46CE3" w:rsidR="003170D5" w:rsidRPr="00E33E20" w:rsidRDefault="003170D5" w:rsidP="009174FD">
            <w:pPr>
              <w:jc w:val="both"/>
              <w:rPr>
                <w:rFonts w:ascii="Arial" w:hAnsi="Arial" w:cs="Arial"/>
                <w:b/>
                <w:bCs/>
                <w:sz w:val="24"/>
                <w:szCs w:val="24"/>
                <w:lang w:val="en-US"/>
              </w:rPr>
            </w:pPr>
            <w:r w:rsidRPr="00E33E20">
              <w:rPr>
                <w:rFonts w:ascii="Arial" w:hAnsi="Arial" w:cs="Arial"/>
                <w:b/>
                <w:bCs/>
                <w:sz w:val="24"/>
                <w:szCs w:val="24"/>
                <w:lang w:val="en-US"/>
              </w:rPr>
              <w:t>2024</w:t>
            </w:r>
          </w:p>
        </w:tc>
      </w:tr>
      <w:tr w:rsidR="002941C5" w:rsidRPr="00E33E20" w14:paraId="461BB26C" w14:textId="77777777" w:rsidTr="002941C5">
        <w:tc>
          <w:tcPr>
            <w:tcW w:w="5524" w:type="dxa"/>
            <w:shd w:val="clear" w:color="auto" w:fill="F2F2F2" w:themeFill="background1" w:themeFillShade="F2"/>
          </w:tcPr>
          <w:p w14:paraId="6A494317" w14:textId="2F98A583"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Total - all activities</w:t>
            </w:r>
          </w:p>
        </w:tc>
        <w:tc>
          <w:tcPr>
            <w:tcW w:w="708" w:type="dxa"/>
            <w:shd w:val="clear" w:color="auto" w:fill="F2F2F2" w:themeFill="background1" w:themeFillShade="F2"/>
          </w:tcPr>
          <w:p w14:paraId="179FC8BD" w14:textId="0E1268FC"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15,6</w:t>
            </w:r>
          </w:p>
        </w:tc>
        <w:tc>
          <w:tcPr>
            <w:tcW w:w="709" w:type="dxa"/>
            <w:shd w:val="clear" w:color="auto" w:fill="F2F2F2" w:themeFill="background1" w:themeFillShade="F2"/>
          </w:tcPr>
          <w:p w14:paraId="67E4A60B" w14:textId="73524F94"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14,9</w:t>
            </w:r>
          </w:p>
        </w:tc>
        <w:tc>
          <w:tcPr>
            <w:tcW w:w="709" w:type="dxa"/>
            <w:shd w:val="clear" w:color="auto" w:fill="F2F2F2" w:themeFill="background1" w:themeFillShade="F2"/>
          </w:tcPr>
          <w:p w14:paraId="49C2D45B" w14:textId="37C3DE45"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17,5</w:t>
            </w:r>
          </w:p>
        </w:tc>
        <w:tc>
          <w:tcPr>
            <w:tcW w:w="749" w:type="dxa"/>
            <w:shd w:val="clear" w:color="auto" w:fill="F2F2F2" w:themeFill="background1" w:themeFillShade="F2"/>
          </w:tcPr>
          <w:p w14:paraId="52597129" w14:textId="7032E07E"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13,1</w:t>
            </w:r>
          </w:p>
        </w:tc>
        <w:tc>
          <w:tcPr>
            <w:tcW w:w="0" w:type="auto"/>
            <w:shd w:val="clear" w:color="auto" w:fill="F2F2F2" w:themeFill="background1" w:themeFillShade="F2"/>
          </w:tcPr>
          <w:p w14:paraId="4C572462" w14:textId="6ADB4366"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13,2</w:t>
            </w:r>
          </w:p>
        </w:tc>
      </w:tr>
      <w:tr w:rsidR="00746C7E" w:rsidRPr="00E33E20" w14:paraId="339F12A6" w14:textId="77777777" w:rsidTr="002941C5">
        <w:tc>
          <w:tcPr>
            <w:tcW w:w="5524" w:type="dxa"/>
          </w:tcPr>
          <w:p w14:paraId="47373738" w14:textId="789B3CF3"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Agriculture, forestry and fishing</w:t>
            </w:r>
          </w:p>
        </w:tc>
        <w:tc>
          <w:tcPr>
            <w:tcW w:w="708" w:type="dxa"/>
          </w:tcPr>
          <w:p w14:paraId="2C4E2C39" w14:textId="767E1D87"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7,2</w:t>
            </w:r>
          </w:p>
        </w:tc>
        <w:tc>
          <w:tcPr>
            <w:tcW w:w="709" w:type="dxa"/>
          </w:tcPr>
          <w:p w14:paraId="4E03481E" w14:textId="5F3FA992"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7,6</w:t>
            </w:r>
          </w:p>
        </w:tc>
        <w:tc>
          <w:tcPr>
            <w:tcW w:w="709" w:type="dxa"/>
          </w:tcPr>
          <w:p w14:paraId="6EF296B0" w14:textId="285924AD"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9,3</w:t>
            </w:r>
          </w:p>
        </w:tc>
        <w:tc>
          <w:tcPr>
            <w:tcW w:w="749" w:type="dxa"/>
          </w:tcPr>
          <w:p w14:paraId="6B8BDE70" w14:textId="7EE0C421"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-1,1</w:t>
            </w:r>
          </w:p>
        </w:tc>
        <w:tc>
          <w:tcPr>
            <w:tcW w:w="0" w:type="auto"/>
          </w:tcPr>
          <w:p w14:paraId="6FE15C4E" w14:textId="0FD12A8A"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5,9</w:t>
            </w:r>
          </w:p>
        </w:tc>
      </w:tr>
      <w:tr w:rsidR="00746C7E" w:rsidRPr="00E33E20" w14:paraId="5BB27CAF" w14:textId="77777777" w:rsidTr="002941C5">
        <w:tc>
          <w:tcPr>
            <w:tcW w:w="5524" w:type="dxa"/>
          </w:tcPr>
          <w:p w14:paraId="3F022013" w14:textId="69663ECE"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Mining and quarrying</w:t>
            </w:r>
          </w:p>
        </w:tc>
        <w:tc>
          <w:tcPr>
            <w:tcW w:w="708" w:type="dxa"/>
          </w:tcPr>
          <w:p w14:paraId="4F9553B7" w14:textId="128460FF"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26,1</w:t>
            </w:r>
          </w:p>
        </w:tc>
        <w:tc>
          <w:tcPr>
            <w:tcW w:w="709" w:type="dxa"/>
          </w:tcPr>
          <w:p w14:paraId="2EB97304" w14:textId="7B89C949"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17,0</w:t>
            </w:r>
          </w:p>
        </w:tc>
        <w:tc>
          <w:tcPr>
            <w:tcW w:w="709" w:type="dxa"/>
          </w:tcPr>
          <w:p w14:paraId="1B7E2AA2" w14:textId="6FFBEDA1"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14,5</w:t>
            </w:r>
          </w:p>
        </w:tc>
        <w:tc>
          <w:tcPr>
            <w:tcW w:w="749" w:type="dxa"/>
          </w:tcPr>
          <w:p w14:paraId="52365BF2" w14:textId="2ED819EC"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18,1</w:t>
            </w:r>
          </w:p>
        </w:tc>
        <w:tc>
          <w:tcPr>
            <w:tcW w:w="0" w:type="auto"/>
          </w:tcPr>
          <w:p w14:paraId="0A723D9E" w14:textId="336743E2"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15,1</w:t>
            </w:r>
          </w:p>
        </w:tc>
      </w:tr>
      <w:tr w:rsidR="00746C7E" w:rsidRPr="00E33E20" w14:paraId="1452A4AE" w14:textId="77777777" w:rsidTr="002941C5">
        <w:tc>
          <w:tcPr>
            <w:tcW w:w="5524" w:type="dxa"/>
          </w:tcPr>
          <w:p w14:paraId="4E44A957" w14:textId="41846900"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Manufacturing</w:t>
            </w:r>
          </w:p>
        </w:tc>
        <w:tc>
          <w:tcPr>
            <w:tcW w:w="708" w:type="dxa"/>
          </w:tcPr>
          <w:p w14:paraId="3B213F87" w14:textId="0FBCEAE9"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21,6</w:t>
            </w:r>
          </w:p>
        </w:tc>
        <w:tc>
          <w:tcPr>
            <w:tcW w:w="709" w:type="dxa"/>
          </w:tcPr>
          <w:p w14:paraId="058EFE7B" w14:textId="5D8CB22D"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21,4</w:t>
            </w:r>
          </w:p>
        </w:tc>
        <w:tc>
          <w:tcPr>
            <w:tcW w:w="709" w:type="dxa"/>
          </w:tcPr>
          <w:p w14:paraId="59C55F64" w14:textId="799C57C3"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25,3</w:t>
            </w:r>
          </w:p>
        </w:tc>
        <w:tc>
          <w:tcPr>
            <w:tcW w:w="749" w:type="dxa"/>
          </w:tcPr>
          <w:p w14:paraId="03E96DB4" w14:textId="7DDFD7DC"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23,0</w:t>
            </w:r>
          </w:p>
        </w:tc>
        <w:tc>
          <w:tcPr>
            <w:tcW w:w="0" w:type="auto"/>
          </w:tcPr>
          <w:p w14:paraId="2D2234DC" w14:textId="0F69153A"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20,2</w:t>
            </w:r>
          </w:p>
        </w:tc>
      </w:tr>
      <w:tr w:rsidR="003170D5" w:rsidRPr="00E33E20" w14:paraId="0F7F4CE2" w14:textId="77777777" w:rsidTr="002941C5">
        <w:tc>
          <w:tcPr>
            <w:tcW w:w="5524" w:type="dxa"/>
          </w:tcPr>
          <w:p w14:paraId="62B3C2B5" w14:textId="21B54256"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Electricity, gas, steam and air conditioning supply</w:t>
            </w:r>
          </w:p>
        </w:tc>
        <w:tc>
          <w:tcPr>
            <w:tcW w:w="708" w:type="dxa"/>
          </w:tcPr>
          <w:p w14:paraId="25417B8A" w14:textId="41BE949D"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11,0</w:t>
            </w:r>
          </w:p>
        </w:tc>
        <w:tc>
          <w:tcPr>
            <w:tcW w:w="709" w:type="dxa"/>
          </w:tcPr>
          <w:p w14:paraId="5C2D122E" w14:textId="47582DCA"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9,5</w:t>
            </w:r>
          </w:p>
        </w:tc>
        <w:tc>
          <w:tcPr>
            <w:tcW w:w="709" w:type="dxa"/>
          </w:tcPr>
          <w:p w14:paraId="481F5FA1" w14:textId="1CE187A9"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13,4</w:t>
            </w:r>
          </w:p>
        </w:tc>
        <w:tc>
          <w:tcPr>
            <w:tcW w:w="749" w:type="dxa"/>
          </w:tcPr>
          <w:p w14:paraId="76A4730F" w14:textId="131E19BE"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6,8</w:t>
            </w:r>
          </w:p>
        </w:tc>
        <w:tc>
          <w:tcPr>
            <w:tcW w:w="0" w:type="auto"/>
          </w:tcPr>
          <w:p w14:paraId="1DDF02E8" w14:textId="04CE3C1C"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7,6</w:t>
            </w:r>
          </w:p>
        </w:tc>
      </w:tr>
      <w:tr w:rsidR="003170D5" w:rsidRPr="00E33E20" w14:paraId="6113FC53" w14:textId="77777777" w:rsidTr="002941C5">
        <w:tc>
          <w:tcPr>
            <w:tcW w:w="5524" w:type="dxa"/>
          </w:tcPr>
          <w:p w14:paraId="5A7ADC84" w14:textId="56C3DA56"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 xml:space="preserve">Water supply; </w:t>
            </w:r>
            <w:proofErr w:type="gramStart"/>
            <w:r w:rsidRPr="00E33E20">
              <w:rPr>
                <w:rFonts w:ascii="Arial" w:hAnsi="Arial" w:cs="Arial"/>
                <w:sz w:val="24"/>
                <w:szCs w:val="24"/>
                <w:lang w:val="en-US"/>
              </w:rPr>
              <w:t>sewerage</w:t>
            </w:r>
            <w:proofErr w:type="gramEnd"/>
            <w:r w:rsidRPr="00E33E20">
              <w:rPr>
                <w:rFonts w:ascii="Arial" w:hAnsi="Arial" w:cs="Arial"/>
                <w:sz w:val="24"/>
                <w:szCs w:val="24"/>
                <w:lang w:val="en-US"/>
              </w:rPr>
              <w:t>, waste management and remediation activities</w:t>
            </w:r>
          </w:p>
        </w:tc>
        <w:tc>
          <w:tcPr>
            <w:tcW w:w="708" w:type="dxa"/>
          </w:tcPr>
          <w:p w14:paraId="366A924A" w14:textId="329BFB72"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5,4</w:t>
            </w:r>
          </w:p>
        </w:tc>
        <w:tc>
          <w:tcPr>
            <w:tcW w:w="709" w:type="dxa"/>
          </w:tcPr>
          <w:p w14:paraId="317AEEA9" w14:textId="250A14F7"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6,6</w:t>
            </w:r>
          </w:p>
        </w:tc>
        <w:tc>
          <w:tcPr>
            <w:tcW w:w="709" w:type="dxa"/>
          </w:tcPr>
          <w:p w14:paraId="542291B3" w14:textId="0ED30553"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10,2</w:t>
            </w:r>
          </w:p>
        </w:tc>
        <w:tc>
          <w:tcPr>
            <w:tcW w:w="749" w:type="dxa"/>
          </w:tcPr>
          <w:p w14:paraId="4D3C64BB" w14:textId="50800077"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9,1</w:t>
            </w:r>
          </w:p>
        </w:tc>
        <w:tc>
          <w:tcPr>
            <w:tcW w:w="0" w:type="auto"/>
          </w:tcPr>
          <w:p w14:paraId="20F13892" w14:textId="599EC1BA"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3,6</w:t>
            </w:r>
          </w:p>
        </w:tc>
      </w:tr>
      <w:tr w:rsidR="003170D5" w:rsidRPr="00E33E20" w14:paraId="3ED14139" w14:textId="77777777" w:rsidTr="002941C5">
        <w:tc>
          <w:tcPr>
            <w:tcW w:w="5524" w:type="dxa"/>
          </w:tcPr>
          <w:p w14:paraId="7C1CB0C5" w14:textId="7CBFF9E6"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Construction</w:t>
            </w:r>
          </w:p>
        </w:tc>
        <w:tc>
          <w:tcPr>
            <w:tcW w:w="708" w:type="dxa"/>
          </w:tcPr>
          <w:p w14:paraId="73B6710C" w14:textId="6BE2F6B8"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3,0</w:t>
            </w:r>
          </w:p>
        </w:tc>
        <w:tc>
          <w:tcPr>
            <w:tcW w:w="709" w:type="dxa"/>
          </w:tcPr>
          <w:p w14:paraId="391BC063" w14:textId="7D1FEEF2"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11,4</w:t>
            </w:r>
          </w:p>
        </w:tc>
        <w:tc>
          <w:tcPr>
            <w:tcW w:w="709" w:type="dxa"/>
          </w:tcPr>
          <w:p w14:paraId="78B06682" w14:textId="4D1EAEBA"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0,1</w:t>
            </w:r>
          </w:p>
        </w:tc>
        <w:tc>
          <w:tcPr>
            <w:tcW w:w="749" w:type="dxa"/>
          </w:tcPr>
          <w:p w14:paraId="2259938C" w14:textId="2D21F64E"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6,9</w:t>
            </w:r>
          </w:p>
        </w:tc>
        <w:tc>
          <w:tcPr>
            <w:tcW w:w="0" w:type="auto"/>
          </w:tcPr>
          <w:p w14:paraId="617E2152" w14:textId="0AF2D4EC"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11,4</w:t>
            </w:r>
          </w:p>
        </w:tc>
      </w:tr>
      <w:tr w:rsidR="003170D5" w:rsidRPr="00E33E20" w14:paraId="6BB4DCDC" w14:textId="77777777" w:rsidTr="002941C5">
        <w:tc>
          <w:tcPr>
            <w:tcW w:w="5524" w:type="dxa"/>
          </w:tcPr>
          <w:p w14:paraId="7F6FE996" w14:textId="1489DAC3"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Wholesale and retail trade; repair of motor vehicles and motorcycles</w:t>
            </w:r>
          </w:p>
        </w:tc>
        <w:tc>
          <w:tcPr>
            <w:tcW w:w="708" w:type="dxa"/>
          </w:tcPr>
          <w:p w14:paraId="03610BEB" w14:textId="079A219E"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23,0</w:t>
            </w:r>
          </w:p>
        </w:tc>
        <w:tc>
          <w:tcPr>
            <w:tcW w:w="709" w:type="dxa"/>
          </w:tcPr>
          <w:p w14:paraId="3D12E38E" w14:textId="3F085568"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24,2</w:t>
            </w:r>
          </w:p>
        </w:tc>
        <w:tc>
          <w:tcPr>
            <w:tcW w:w="709" w:type="dxa"/>
          </w:tcPr>
          <w:p w14:paraId="18B0865F" w14:textId="3DC15AA9"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29,6</w:t>
            </w:r>
          </w:p>
        </w:tc>
        <w:tc>
          <w:tcPr>
            <w:tcW w:w="749" w:type="dxa"/>
          </w:tcPr>
          <w:p w14:paraId="471F9E70" w14:textId="3DBFE41B"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25,5</w:t>
            </w:r>
          </w:p>
        </w:tc>
        <w:tc>
          <w:tcPr>
            <w:tcW w:w="0" w:type="auto"/>
          </w:tcPr>
          <w:p w14:paraId="230E03CF" w14:textId="059EAA11"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23,5</w:t>
            </w:r>
          </w:p>
        </w:tc>
      </w:tr>
      <w:tr w:rsidR="003170D5" w:rsidRPr="00E33E20" w14:paraId="5457512E" w14:textId="77777777" w:rsidTr="002941C5">
        <w:tc>
          <w:tcPr>
            <w:tcW w:w="5524" w:type="dxa"/>
          </w:tcPr>
          <w:p w14:paraId="7DCB58C6" w14:textId="34D22A0D"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Transportation and storage</w:t>
            </w:r>
          </w:p>
        </w:tc>
        <w:tc>
          <w:tcPr>
            <w:tcW w:w="708" w:type="dxa"/>
          </w:tcPr>
          <w:p w14:paraId="7D19961E" w14:textId="7DA4147A"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-6,2</w:t>
            </w:r>
          </w:p>
        </w:tc>
        <w:tc>
          <w:tcPr>
            <w:tcW w:w="709" w:type="dxa"/>
          </w:tcPr>
          <w:p w14:paraId="59A0F635" w14:textId="1AB291C5"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-5,2</w:t>
            </w:r>
          </w:p>
        </w:tc>
        <w:tc>
          <w:tcPr>
            <w:tcW w:w="709" w:type="dxa"/>
          </w:tcPr>
          <w:p w14:paraId="0F122C18" w14:textId="4F8EF95F"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-2,9</w:t>
            </w:r>
          </w:p>
        </w:tc>
        <w:tc>
          <w:tcPr>
            <w:tcW w:w="749" w:type="dxa"/>
          </w:tcPr>
          <w:p w14:paraId="47324A38" w14:textId="3B01A44D"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-5,6</w:t>
            </w:r>
          </w:p>
        </w:tc>
        <w:tc>
          <w:tcPr>
            <w:tcW w:w="0" w:type="auto"/>
          </w:tcPr>
          <w:p w14:paraId="6F561457" w14:textId="4909024D"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-7,1</w:t>
            </w:r>
          </w:p>
        </w:tc>
      </w:tr>
      <w:tr w:rsidR="003170D5" w:rsidRPr="00E33E20" w14:paraId="35364A04" w14:textId="77777777" w:rsidTr="002941C5">
        <w:tc>
          <w:tcPr>
            <w:tcW w:w="5524" w:type="dxa"/>
          </w:tcPr>
          <w:p w14:paraId="2FB8507E" w14:textId="7EC23E6F"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Accommodation and food service activities</w:t>
            </w:r>
          </w:p>
        </w:tc>
        <w:tc>
          <w:tcPr>
            <w:tcW w:w="708" w:type="dxa"/>
          </w:tcPr>
          <w:p w14:paraId="4CF4CD7C" w14:textId="7CE2375C"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15,9</w:t>
            </w:r>
          </w:p>
        </w:tc>
        <w:tc>
          <w:tcPr>
            <w:tcW w:w="709" w:type="dxa"/>
          </w:tcPr>
          <w:p w14:paraId="667BF479" w14:textId="0D72BB30"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5,8</w:t>
            </w:r>
          </w:p>
        </w:tc>
        <w:tc>
          <w:tcPr>
            <w:tcW w:w="709" w:type="dxa"/>
          </w:tcPr>
          <w:p w14:paraId="3C5EAB69" w14:textId="0583D02C"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18,9</w:t>
            </w:r>
          </w:p>
        </w:tc>
        <w:tc>
          <w:tcPr>
            <w:tcW w:w="749" w:type="dxa"/>
          </w:tcPr>
          <w:p w14:paraId="16E2B2BD" w14:textId="2CD5D026"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19,5</w:t>
            </w:r>
          </w:p>
        </w:tc>
        <w:tc>
          <w:tcPr>
            <w:tcW w:w="0" w:type="auto"/>
          </w:tcPr>
          <w:p w14:paraId="11EFBD1A" w14:textId="219F0312"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15,4</w:t>
            </w:r>
          </w:p>
        </w:tc>
      </w:tr>
      <w:tr w:rsidR="003170D5" w:rsidRPr="00E33E20" w14:paraId="1E7C55CD" w14:textId="77777777" w:rsidTr="002941C5">
        <w:tc>
          <w:tcPr>
            <w:tcW w:w="5524" w:type="dxa"/>
          </w:tcPr>
          <w:p w14:paraId="623CBF9E" w14:textId="22F45471"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Information and communication</w:t>
            </w:r>
          </w:p>
        </w:tc>
        <w:tc>
          <w:tcPr>
            <w:tcW w:w="708" w:type="dxa"/>
          </w:tcPr>
          <w:p w14:paraId="4F8FE870" w14:textId="12584B05"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24,1</w:t>
            </w:r>
          </w:p>
        </w:tc>
        <w:tc>
          <w:tcPr>
            <w:tcW w:w="709" w:type="dxa"/>
          </w:tcPr>
          <w:p w14:paraId="5ED4FAEF" w14:textId="6042BBBB"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23,5</w:t>
            </w:r>
          </w:p>
        </w:tc>
        <w:tc>
          <w:tcPr>
            <w:tcW w:w="709" w:type="dxa"/>
          </w:tcPr>
          <w:p w14:paraId="2BAB9265" w14:textId="7B28E89F"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24,4</w:t>
            </w:r>
          </w:p>
        </w:tc>
        <w:tc>
          <w:tcPr>
            <w:tcW w:w="749" w:type="dxa"/>
          </w:tcPr>
          <w:p w14:paraId="701BF1EC" w14:textId="6B7106FB"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25,1</w:t>
            </w:r>
          </w:p>
        </w:tc>
        <w:tc>
          <w:tcPr>
            <w:tcW w:w="0" w:type="auto"/>
          </w:tcPr>
          <w:p w14:paraId="7B1CE4A4" w14:textId="6A25C8B0"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24,4</w:t>
            </w:r>
          </w:p>
        </w:tc>
      </w:tr>
      <w:tr w:rsidR="003170D5" w:rsidRPr="00E33E20" w14:paraId="64851A7F" w14:textId="77777777" w:rsidTr="002941C5">
        <w:tc>
          <w:tcPr>
            <w:tcW w:w="5524" w:type="dxa"/>
          </w:tcPr>
          <w:p w14:paraId="2EBC9C84" w14:textId="61565B51"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Financial and insurance activities</w:t>
            </w:r>
          </w:p>
        </w:tc>
        <w:tc>
          <w:tcPr>
            <w:tcW w:w="708" w:type="dxa"/>
          </w:tcPr>
          <w:p w14:paraId="14CD33B8" w14:textId="48FA22D1"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29,4</w:t>
            </w:r>
          </w:p>
        </w:tc>
        <w:tc>
          <w:tcPr>
            <w:tcW w:w="709" w:type="dxa"/>
          </w:tcPr>
          <w:p w14:paraId="1F45E36D" w14:textId="3F169773"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25,7</w:t>
            </w:r>
          </w:p>
        </w:tc>
        <w:tc>
          <w:tcPr>
            <w:tcW w:w="709" w:type="dxa"/>
          </w:tcPr>
          <w:p w14:paraId="57328E4F" w14:textId="60BCE35A"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30,4</w:t>
            </w:r>
          </w:p>
        </w:tc>
        <w:tc>
          <w:tcPr>
            <w:tcW w:w="749" w:type="dxa"/>
          </w:tcPr>
          <w:p w14:paraId="498A5201" w14:textId="496AE5F6"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24,9</w:t>
            </w:r>
          </w:p>
        </w:tc>
        <w:tc>
          <w:tcPr>
            <w:tcW w:w="0" w:type="auto"/>
          </w:tcPr>
          <w:p w14:paraId="5A78BA04" w14:textId="2504E848"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25,5</w:t>
            </w:r>
          </w:p>
        </w:tc>
      </w:tr>
      <w:tr w:rsidR="003170D5" w:rsidRPr="00E33E20" w14:paraId="5B51D938" w14:textId="77777777" w:rsidTr="002941C5">
        <w:tc>
          <w:tcPr>
            <w:tcW w:w="5524" w:type="dxa"/>
          </w:tcPr>
          <w:p w14:paraId="5C6F5E59" w14:textId="6E07307A"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Real estate activities</w:t>
            </w:r>
          </w:p>
        </w:tc>
        <w:tc>
          <w:tcPr>
            <w:tcW w:w="708" w:type="dxa"/>
          </w:tcPr>
          <w:p w14:paraId="37837438" w14:textId="24DBB12E"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17,5</w:t>
            </w:r>
          </w:p>
        </w:tc>
        <w:tc>
          <w:tcPr>
            <w:tcW w:w="709" w:type="dxa"/>
          </w:tcPr>
          <w:p w14:paraId="490E53CC" w14:textId="1B290B1A"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15,0</w:t>
            </w:r>
          </w:p>
        </w:tc>
        <w:tc>
          <w:tcPr>
            <w:tcW w:w="709" w:type="dxa"/>
          </w:tcPr>
          <w:p w14:paraId="45B18F94" w14:textId="109BB2AC"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20,3</w:t>
            </w:r>
          </w:p>
        </w:tc>
        <w:tc>
          <w:tcPr>
            <w:tcW w:w="749" w:type="dxa"/>
          </w:tcPr>
          <w:p w14:paraId="47DDEBC5" w14:textId="40223C3D"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4,6</w:t>
            </w:r>
          </w:p>
        </w:tc>
        <w:tc>
          <w:tcPr>
            <w:tcW w:w="0" w:type="auto"/>
          </w:tcPr>
          <w:p w14:paraId="27AAB797" w14:textId="7C6DBC22"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6,0</w:t>
            </w:r>
          </w:p>
        </w:tc>
      </w:tr>
      <w:tr w:rsidR="003170D5" w:rsidRPr="00E33E20" w14:paraId="47F0D507" w14:textId="77777777" w:rsidTr="002941C5">
        <w:tc>
          <w:tcPr>
            <w:tcW w:w="5524" w:type="dxa"/>
          </w:tcPr>
          <w:p w14:paraId="03B353C4" w14:textId="7D2939C7"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Professional, scientific and technical activities</w:t>
            </w:r>
          </w:p>
        </w:tc>
        <w:tc>
          <w:tcPr>
            <w:tcW w:w="708" w:type="dxa"/>
          </w:tcPr>
          <w:p w14:paraId="11A12C1F" w14:textId="319A93B6"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12,1</w:t>
            </w:r>
          </w:p>
        </w:tc>
        <w:tc>
          <w:tcPr>
            <w:tcW w:w="709" w:type="dxa"/>
          </w:tcPr>
          <w:p w14:paraId="6F26514A" w14:textId="12216FE2"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7,3</w:t>
            </w:r>
          </w:p>
        </w:tc>
        <w:tc>
          <w:tcPr>
            <w:tcW w:w="709" w:type="dxa"/>
          </w:tcPr>
          <w:p w14:paraId="2C096E48" w14:textId="27CDDE83"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17,8</w:t>
            </w:r>
          </w:p>
        </w:tc>
        <w:tc>
          <w:tcPr>
            <w:tcW w:w="749" w:type="dxa"/>
          </w:tcPr>
          <w:p w14:paraId="00D8974D" w14:textId="1FDDFDEA"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-2,4</w:t>
            </w:r>
          </w:p>
        </w:tc>
        <w:tc>
          <w:tcPr>
            <w:tcW w:w="0" w:type="auto"/>
          </w:tcPr>
          <w:p w14:paraId="103121F8" w14:textId="2262C7EF"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8,7</w:t>
            </w:r>
          </w:p>
        </w:tc>
      </w:tr>
      <w:tr w:rsidR="003170D5" w:rsidRPr="00E33E20" w14:paraId="6A816A9B" w14:textId="77777777" w:rsidTr="002941C5">
        <w:tc>
          <w:tcPr>
            <w:tcW w:w="5524" w:type="dxa"/>
          </w:tcPr>
          <w:p w14:paraId="563B763A" w14:textId="01E3A7AF"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Administrative and support service activities</w:t>
            </w:r>
          </w:p>
        </w:tc>
        <w:tc>
          <w:tcPr>
            <w:tcW w:w="708" w:type="dxa"/>
          </w:tcPr>
          <w:p w14:paraId="42337100" w14:textId="15A4A338"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18,2</w:t>
            </w:r>
          </w:p>
        </w:tc>
        <w:tc>
          <w:tcPr>
            <w:tcW w:w="709" w:type="dxa"/>
          </w:tcPr>
          <w:p w14:paraId="4A82F659" w14:textId="68164920"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15,2</w:t>
            </w:r>
          </w:p>
        </w:tc>
        <w:tc>
          <w:tcPr>
            <w:tcW w:w="709" w:type="dxa"/>
          </w:tcPr>
          <w:p w14:paraId="1D319D02" w14:textId="3A0040CB"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9,7</w:t>
            </w:r>
          </w:p>
        </w:tc>
        <w:tc>
          <w:tcPr>
            <w:tcW w:w="749" w:type="dxa"/>
          </w:tcPr>
          <w:p w14:paraId="1361260E" w14:textId="36C2825D"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20,2</w:t>
            </w:r>
          </w:p>
        </w:tc>
        <w:tc>
          <w:tcPr>
            <w:tcW w:w="0" w:type="auto"/>
          </w:tcPr>
          <w:p w14:paraId="10FD8FC6" w14:textId="5F1002B9"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15,5</w:t>
            </w:r>
          </w:p>
        </w:tc>
      </w:tr>
      <w:tr w:rsidR="003170D5" w:rsidRPr="00E33E20" w14:paraId="730160A3" w14:textId="77777777" w:rsidTr="002941C5">
        <w:tc>
          <w:tcPr>
            <w:tcW w:w="5524" w:type="dxa"/>
          </w:tcPr>
          <w:p w14:paraId="6C284C8C" w14:textId="16E5445B"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 xml:space="preserve">Public administration and </w:t>
            </w:r>
            <w:proofErr w:type="spellStart"/>
            <w:r w:rsidRPr="00E33E20">
              <w:rPr>
                <w:rFonts w:ascii="Arial" w:hAnsi="Arial" w:cs="Arial"/>
                <w:sz w:val="24"/>
                <w:szCs w:val="24"/>
                <w:lang w:val="en-US"/>
              </w:rPr>
              <w:t>defence</w:t>
            </w:r>
            <w:proofErr w:type="spellEnd"/>
            <w:r w:rsidRPr="00E33E20">
              <w:rPr>
                <w:rFonts w:ascii="Arial" w:hAnsi="Arial" w:cs="Arial"/>
                <w:sz w:val="24"/>
                <w:szCs w:val="24"/>
                <w:lang w:val="en-US"/>
              </w:rPr>
              <w:t>; compulsory social security</w:t>
            </w:r>
          </w:p>
        </w:tc>
        <w:tc>
          <w:tcPr>
            <w:tcW w:w="708" w:type="dxa"/>
          </w:tcPr>
          <w:p w14:paraId="610D939D" w14:textId="747C0357"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5,2</w:t>
            </w:r>
          </w:p>
        </w:tc>
        <w:tc>
          <w:tcPr>
            <w:tcW w:w="709" w:type="dxa"/>
          </w:tcPr>
          <w:p w14:paraId="60E4D882" w14:textId="549907DB"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6,9</w:t>
            </w:r>
          </w:p>
        </w:tc>
        <w:tc>
          <w:tcPr>
            <w:tcW w:w="709" w:type="dxa"/>
          </w:tcPr>
          <w:p w14:paraId="4652D156" w14:textId="0DCF4217"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5,9</w:t>
            </w:r>
          </w:p>
        </w:tc>
        <w:tc>
          <w:tcPr>
            <w:tcW w:w="749" w:type="dxa"/>
          </w:tcPr>
          <w:p w14:paraId="7235AF79" w14:textId="6327248D"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6,1</w:t>
            </w:r>
          </w:p>
        </w:tc>
        <w:tc>
          <w:tcPr>
            <w:tcW w:w="0" w:type="auto"/>
          </w:tcPr>
          <w:p w14:paraId="1099AFFE" w14:textId="6FB217E7"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6,5</w:t>
            </w:r>
          </w:p>
        </w:tc>
      </w:tr>
      <w:tr w:rsidR="003170D5" w:rsidRPr="00E33E20" w14:paraId="001F3EEA" w14:textId="77777777" w:rsidTr="002941C5">
        <w:tc>
          <w:tcPr>
            <w:tcW w:w="5524" w:type="dxa"/>
          </w:tcPr>
          <w:p w14:paraId="1B2A32C6" w14:textId="49BD4876"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lastRenderedPageBreak/>
              <w:t>Education</w:t>
            </w:r>
          </w:p>
        </w:tc>
        <w:tc>
          <w:tcPr>
            <w:tcW w:w="708" w:type="dxa"/>
          </w:tcPr>
          <w:p w14:paraId="3CEA8429" w14:textId="7D91AC35"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16,7</w:t>
            </w:r>
          </w:p>
        </w:tc>
        <w:tc>
          <w:tcPr>
            <w:tcW w:w="709" w:type="dxa"/>
          </w:tcPr>
          <w:p w14:paraId="0BDCF582" w14:textId="58887792"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17,0</w:t>
            </w:r>
          </w:p>
        </w:tc>
        <w:tc>
          <w:tcPr>
            <w:tcW w:w="709" w:type="dxa"/>
          </w:tcPr>
          <w:p w14:paraId="36C3432F" w14:textId="066001DF"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14,0</w:t>
            </w:r>
          </w:p>
        </w:tc>
        <w:tc>
          <w:tcPr>
            <w:tcW w:w="749" w:type="dxa"/>
          </w:tcPr>
          <w:p w14:paraId="7BF53C6F" w14:textId="2C3475B8"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10,4</w:t>
            </w:r>
          </w:p>
        </w:tc>
        <w:tc>
          <w:tcPr>
            <w:tcW w:w="0" w:type="auto"/>
          </w:tcPr>
          <w:p w14:paraId="0A1C70C7" w14:textId="7394E60A"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9,7</w:t>
            </w:r>
          </w:p>
        </w:tc>
      </w:tr>
      <w:tr w:rsidR="003170D5" w:rsidRPr="00E33E20" w14:paraId="6E792C66" w14:textId="77777777" w:rsidTr="002941C5">
        <w:tc>
          <w:tcPr>
            <w:tcW w:w="5524" w:type="dxa"/>
          </w:tcPr>
          <w:p w14:paraId="6D9BE040" w14:textId="39A93C44"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Human health and social work activities</w:t>
            </w:r>
          </w:p>
        </w:tc>
        <w:tc>
          <w:tcPr>
            <w:tcW w:w="708" w:type="dxa"/>
          </w:tcPr>
          <w:p w14:paraId="0FF6DC5E" w14:textId="2C79D63E"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24,0</w:t>
            </w:r>
          </w:p>
        </w:tc>
        <w:tc>
          <w:tcPr>
            <w:tcW w:w="709" w:type="dxa"/>
          </w:tcPr>
          <w:p w14:paraId="0C70CD9B" w14:textId="591CE4AF"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23,8</w:t>
            </w:r>
          </w:p>
        </w:tc>
        <w:tc>
          <w:tcPr>
            <w:tcW w:w="709" w:type="dxa"/>
          </w:tcPr>
          <w:p w14:paraId="5E8C6369" w14:textId="447DF773"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28,2</w:t>
            </w:r>
          </w:p>
        </w:tc>
        <w:tc>
          <w:tcPr>
            <w:tcW w:w="749" w:type="dxa"/>
          </w:tcPr>
          <w:p w14:paraId="4ACEA483" w14:textId="2F8AC381"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19,1</w:t>
            </w:r>
          </w:p>
        </w:tc>
        <w:tc>
          <w:tcPr>
            <w:tcW w:w="0" w:type="auto"/>
          </w:tcPr>
          <w:p w14:paraId="748A089C" w14:textId="797B05B3"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20,7</w:t>
            </w:r>
          </w:p>
        </w:tc>
      </w:tr>
      <w:tr w:rsidR="003170D5" w:rsidRPr="00E33E20" w14:paraId="08EBD613" w14:textId="77777777" w:rsidTr="002941C5">
        <w:tc>
          <w:tcPr>
            <w:tcW w:w="5524" w:type="dxa"/>
          </w:tcPr>
          <w:p w14:paraId="253DB993" w14:textId="5A804728"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Arts, entertainment and recreation</w:t>
            </w:r>
          </w:p>
        </w:tc>
        <w:tc>
          <w:tcPr>
            <w:tcW w:w="708" w:type="dxa"/>
          </w:tcPr>
          <w:p w14:paraId="4C050801" w14:textId="0636A27A"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12,6</w:t>
            </w:r>
          </w:p>
        </w:tc>
        <w:tc>
          <w:tcPr>
            <w:tcW w:w="709" w:type="dxa"/>
          </w:tcPr>
          <w:p w14:paraId="7810F2C4" w14:textId="7903C6BB"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9,6</w:t>
            </w:r>
          </w:p>
        </w:tc>
        <w:tc>
          <w:tcPr>
            <w:tcW w:w="709" w:type="dxa"/>
          </w:tcPr>
          <w:p w14:paraId="3D3E3254" w14:textId="20EBFEC7"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16,1</w:t>
            </w:r>
          </w:p>
        </w:tc>
        <w:tc>
          <w:tcPr>
            <w:tcW w:w="749" w:type="dxa"/>
          </w:tcPr>
          <w:p w14:paraId="161D945D" w14:textId="1899E21A"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17,5</w:t>
            </w:r>
          </w:p>
        </w:tc>
        <w:tc>
          <w:tcPr>
            <w:tcW w:w="0" w:type="auto"/>
          </w:tcPr>
          <w:p w14:paraId="07D17115" w14:textId="6283AFB3"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11,8</w:t>
            </w:r>
          </w:p>
        </w:tc>
      </w:tr>
      <w:tr w:rsidR="003170D5" w:rsidRPr="00E33E20" w14:paraId="24C3E4BA" w14:textId="77777777" w:rsidTr="002941C5">
        <w:tc>
          <w:tcPr>
            <w:tcW w:w="5524" w:type="dxa"/>
          </w:tcPr>
          <w:p w14:paraId="76FE4190" w14:textId="0A2A730A"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Other service activities</w:t>
            </w:r>
          </w:p>
        </w:tc>
        <w:tc>
          <w:tcPr>
            <w:tcW w:w="708" w:type="dxa"/>
          </w:tcPr>
          <w:p w14:paraId="13263A36" w14:textId="198BF457"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17,1</w:t>
            </w:r>
          </w:p>
        </w:tc>
        <w:tc>
          <w:tcPr>
            <w:tcW w:w="709" w:type="dxa"/>
          </w:tcPr>
          <w:p w14:paraId="3C93D7B3" w14:textId="29297FCE"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11,3</w:t>
            </w:r>
          </w:p>
        </w:tc>
        <w:tc>
          <w:tcPr>
            <w:tcW w:w="709" w:type="dxa"/>
          </w:tcPr>
          <w:p w14:paraId="0EC6BCB5" w14:textId="3818BF47"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22,6</w:t>
            </w:r>
          </w:p>
        </w:tc>
        <w:tc>
          <w:tcPr>
            <w:tcW w:w="749" w:type="dxa"/>
          </w:tcPr>
          <w:p w14:paraId="79421496" w14:textId="7B825E96"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w:t>
            </w:r>
            <w:r w:rsidR="00E2471F" w:rsidRPr="00E33E20">
              <w:rPr>
                <w:rFonts w:ascii="Arial" w:hAnsi="Arial" w:cs="Arial"/>
                <w:sz w:val="24"/>
                <w:szCs w:val="24"/>
                <w:lang w:val="en-US"/>
              </w:rPr>
              <w:t>1</w:t>
            </w:r>
            <w:r w:rsidRPr="00E33E20">
              <w:rPr>
                <w:rFonts w:ascii="Arial" w:hAnsi="Arial" w:cs="Arial"/>
                <w:sz w:val="24"/>
                <w:szCs w:val="24"/>
                <w:lang w:val="en-US"/>
              </w:rPr>
              <w:t>8,4</w:t>
            </w:r>
          </w:p>
        </w:tc>
        <w:tc>
          <w:tcPr>
            <w:tcW w:w="0" w:type="auto"/>
          </w:tcPr>
          <w:p w14:paraId="771CBE77" w14:textId="405BFC25" w:rsidR="003170D5" w:rsidRPr="00E33E20" w:rsidRDefault="003170D5" w:rsidP="009174FD">
            <w:pPr>
              <w:jc w:val="both"/>
              <w:rPr>
                <w:rFonts w:ascii="Arial" w:hAnsi="Arial" w:cs="Arial"/>
                <w:sz w:val="24"/>
                <w:szCs w:val="24"/>
                <w:lang w:val="en-US"/>
              </w:rPr>
            </w:pPr>
            <w:r w:rsidRPr="00E33E20">
              <w:rPr>
                <w:rFonts w:ascii="Arial" w:hAnsi="Arial" w:cs="Arial"/>
                <w:sz w:val="24"/>
                <w:szCs w:val="24"/>
                <w:lang w:val="en-US"/>
              </w:rPr>
              <w:t>14,8</w:t>
            </w:r>
          </w:p>
        </w:tc>
      </w:tr>
    </w:tbl>
    <w:p w14:paraId="75A793F1" w14:textId="77777777" w:rsidR="00251BBA" w:rsidRPr="00E33E20" w:rsidRDefault="00251BBA" w:rsidP="009174FD">
      <w:pPr>
        <w:pStyle w:val="Kehatekst"/>
        <w:ind w:right="174"/>
        <w:jc w:val="both"/>
        <w:rPr>
          <w:sz w:val="24"/>
          <w:szCs w:val="24"/>
        </w:rPr>
      </w:pPr>
    </w:p>
    <w:p w14:paraId="74349E6F" w14:textId="315E4E0E" w:rsidR="00523A1B" w:rsidRPr="00E33E20" w:rsidRDefault="00523A1B" w:rsidP="009174FD">
      <w:pPr>
        <w:pStyle w:val="Kehatekst"/>
        <w:ind w:right="174"/>
        <w:jc w:val="both"/>
        <w:rPr>
          <w:sz w:val="24"/>
          <w:szCs w:val="24"/>
        </w:rPr>
      </w:pPr>
      <w:r w:rsidRPr="00E33E20">
        <w:rPr>
          <w:sz w:val="24"/>
          <w:szCs w:val="24"/>
        </w:rPr>
        <w:t xml:space="preserve">In 2022 OECD published </w:t>
      </w:r>
      <w:r w:rsidR="009174FD" w:rsidRPr="00E33E20">
        <w:rPr>
          <w:sz w:val="24"/>
          <w:szCs w:val="24"/>
        </w:rPr>
        <w:t>a</w:t>
      </w:r>
      <w:r w:rsidRPr="00E33E20">
        <w:rPr>
          <w:sz w:val="24"/>
          <w:szCs w:val="24"/>
        </w:rPr>
        <w:t xml:space="preserve"> report titled The Economic Case for More Gender Equality in Estonia, which also includes statistical analyses based on official macroeconomic data from national accounts databases and employment and working hours estimates from labour force surveys. The report demonstrates that differences in firm pay practices account for about half of the gender pay gap in Estonia. Of this, three-fifths can be attributed to the fact that women tend to work in firms that pay lower wages. The other two-fifths of the explained part of the gender wage gap reflect gender differences in pay within firms and can be attributed to a weaker bargaining position of female employees vis-à-vis </w:t>
      </w:r>
      <w:proofErr w:type="gramStart"/>
      <w:r w:rsidRPr="00E33E20">
        <w:rPr>
          <w:sz w:val="24"/>
          <w:szCs w:val="24"/>
        </w:rPr>
        <w:t>employers, but</w:t>
      </w:r>
      <w:proofErr w:type="gramEnd"/>
      <w:r w:rsidRPr="00E33E20">
        <w:rPr>
          <w:sz w:val="24"/>
          <w:szCs w:val="24"/>
        </w:rPr>
        <w:t xml:space="preserve"> may also partially reflect pay discrimination against women. The remaining half of the gender wage gap reflects differences in tasks, responsibilities and skills.</w:t>
      </w:r>
    </w:p>
    <w:p w14:paraId="0E84914A" w14:textId="77777777" w:rsidR="00CB61F7" w:rsidRPr="00E33E20" w:rsidRDefault="00CB61F7" w:rsidP="009174FD">
      <w:pPr>
        <w:pStyle w:val="Kehatekst"/>
        <w:ind w:right="174"/>
        <w:jc w:val="both"/>
        <w:rPr>
          <w:sz w:val="24"/>
          <w:szCs w:val="24"/>
        </w:rPr>
      </w:pPr>
    </w:p>
    <w:p w14:paraId="28B20E26" w14:textId="37BEFF77" w:rsidR="00523A1B" w:rsidRPr="00E33E20" w:rsidRDefault="00CB61F7" w:rsidP="009174FD">
      <w:pPr>
        <w:spacing w:after="0" w:line="240" w:lineRule="auto"/>
        <w:jc w:val="both"/>
        <w:rPr>
          <w:rFonts w:ascii="Arial" w:hAnsi="Arial" w:cs="Arial"/>
          <w:b/>
          <w:bCs/>
          <w:sz w:val="24"/>
          <w:szCs w:val="24"/>
          <w:lang w:val="en-US"/>
        </w:rPr>
      </w:pPr>
      <w:r w:rsidRPr="00E33E20">
        <w:rPr>
          <w:rFonts w:ascii="Arial" w:hAnsi="Arial" w:cs="Arial"/>
          <w:b/>
          <w:bCs/>
          <w:sz w:val="24"/>
          <w:szCs w:val="24"/>
          <w:lang w:val="en-US"/>
        </w:rPr>
        <w:t>Pay transparency</w:t>
      </w:r>
    </w:p>
    <w:p w14:paraId="1363B452" w14:textId="77777777" w:rsidR="009305A7" w:rsidRPr="00E33E20" w:rsidRDefault="009305A7" w:rsidP="009174FD">
      <w:pPr>
        <w:spacing w:after="0" w:line="240" w:lineRule="auto"/>
        <w:ind w:right="227"/>
        <w:jc w:val="both"/>
        <w:rPr>
          <w:rFonts w:ascii="Arial" w:hAnsi="Arial" w:cs="Arial"/>
          <w:color w:val="FF0000"/>
          <w:sz w:val="24"/>
          <w:szCs w:val="24"/>
          <w:lang w:val="en-US"/>
        </w:rPr>
      </w:pPr>
    </w:p>
    <w:p w14:paraId="1BE8D546" w14:textId="04E2FF2A" w:rsidR="00476C34" w:rsidRPr="00E33E20" w:rsidRDefault="00476C34" w:rsidP="009174FD">
      <w:pPr>
        <w:spacing w:after="0" w:line="240" w:lineRule="auto"/>
        <w:ind w:right="227"/>
        <w:jc w:val="both"/>
        <w:rPr>
          <w:rFonts w:ascii="Arial" w:hAnsi="Arial" w:cs="Arial"/>
          <w:sz w:val="24"/>
          <w:szCs w:val="24"/>
          <w:lang w:val="en-US"/>
        </w:rPr>
      </w:pPr>
      <w:r w:rsidRPr="00E33E20">
        <w:rPr>
          <w:rFonts w:ascii="Arial" w:hAnsi="Arial" w:cs="Arial"/>
          <w:sz w:val="24"/>
          <w:szCs w:val="24"/>
          <w:lang w:val="en-US"/>
        </w:rPr>
        <w:t>Estonia has taken significant steps to improve pay transparency and prepare for the transposition of the EU Pay Transparency Directive (Directive (EU) 2023/970), which must be implemented by 7 July 2026. These efforts include both legislative developments and the introduction of voluntary tools to support employers in identifying and addressing gender pay gaps. A draft law is currently being prepared to transpose the EU Pay Transparency Directive. The Ministry of Economic Affairs and Communications is responsible for this process. The forthcoming legislation will require employers to:</w:t>
      </w:r>
    </w:p>
    <w:p w14:paraId="4E4AAEC1" w14:textId="77777777" w:rsidR="00476C34" w:rsidRPr="00E33E20" w:rsidRDefault="00476C34" w:rsidP="00241013">
      <w:pPr>
        <w:widowControl w:val="0"/>
        <w:numPr>
          <w:ilvl w:val="0"/>
          <w:numId w:val="5"/>
        </w:numPr>
        <w:autoSpaceDE w:val="0"/>
        <w:autoSpaceDN w:val="0"/>
        <w:spacing w:after="0" w:line="240" w:lineRule="auto"/>
        <w:ind w:right="227"/>
        <w:jc w:val="both"/>
        <w:rPr>
          <w:rFonts w:ascii="Arial" w:hAnsi="Arial" w:cs="Arial"/>
          <w:sz w:val="24"/>
          <w:szCs w:val="24"/>
          <w:lang w:val="en-US"/>
        </w:rPr>
      </w:pPr>
      <w:r w:rsidRPr="00E33E20">
        <w:rPr>
          <w:rFonts w:ascii="Arial" w:hAnsi="Arial" w:cs="Arial"/>
          <w:sz w:val="24"/>
          <w:szCs w:val="24"/>
          <w:lang w:val="en-US"/>
        </w:rPr>
        <w:t>Establish pay structures based on objective and gender-neutral criteria,</w:t>
      </w:r>
    </w:p>
    <w:p w14:paraId="221EF12A" w14:textId="77777777" w:rsidR="00476C34" w:rsidRPr="00E33E20" w:rsidRDefault="00476C34" w:rsidP="00241013">
      <w:pPr>
        <w:widowControl w:val="0"/>
        <w:numPr>
          <w:ilvl w:val="0"/>
          <w:numId w:val="5"/>
        </w:numPr>
        <w:autoSpaceDE w:val="0"/>
        <w:autoSpaceDN w:val="0"/>
        <w:spacing w:after="0" w:line="240" w:lineRule="auto"/>
        <w:ind w:right="227"/>
        <w:jc w:val="both"/>
        <w:rPr>
          <w:rFonts w:ascii="Arial" w:hAnsi="Arial" w:cs="Arial"/>
          <w:sz w:val="24"/>
          <w:szCs w:val="24"/>
          <w:lang w:val="en-US"/>
        </w:rPr>
      </w:pPr>
      <w:r w:rsidRPr="00E33E20">
        <w:rPr>
          <w:rFonts w:ascii="Arial" w:hAnsi="Arial" w:cs="Arial"/>
          <w:sz w:val="24"/>
          <w:szCs w:val="24"/>
          <w:lang w:val="en-US"/>
        </w:rPr>
        <w:t>Provide job applicants with pay or pay range information before interviews,</w:t>
      </w:r>
    </w:p>
    <w:p w14:paraId="1816A3F0" w14:textId="77777777" w:rsidR="00476C34" w:rsidRPr="00E33E20" w:rsidRDefault="00476C34" w:rsidP="00241013">
      <w:pPr>
        <w:widowControl w:val="0"/>
        <w:numPr>
          <w:ilvl w:val="0"/>
          <w:numId w:val="5"/>
        </w:numPr>
        <w:autoSpaceDE w:val="0"/>
        <w:autoSpaceDN w:val="0"/>
        <w:spacing w:after="0" w:line="240" w:lineRule="auto"/>
        <w:ind w:right="227"/>
        <w:jc w:val="both"/>
        <w:rPr>
          <w:rFonts w:ascii="Arial" w:hAnsi="Arial" w:cs="Arial"/>
          <w:sz w:val="24"/>
          <w:szCs w:val="24"/>
          <w:lang w:val="en-US"/>
        </w:rPr>
      </w:pPr>
      <w:r w:rsidRPr="00E33E20">
        <w:rPr>
          <w:rFonts w:ascii="Arial" w:hAnsi="Arial" w:cs="Arial"/>
          <w:sz w:val="24"/>
          <w:szCs w:val="24"/>
          <w:lang w:val="en-US"/>
        </w:rPr>
        <w:t>Disclose average pay levels and gender pay gaps upon employee request,</w:t>
      </w:r>
    </w:p>
    <w:p w14:paraId="379BF333" w14:textId="77777777" w:rsidR="00476C34" w:rsidRPr="00E33E20" w:rsidRDefault="00476C34" w:rsidP="00241013">
      <w:pPr>
        <w:widowControl w:val="0"/>
        <w:numPr>
          <w:ilvl w:val="0"/>
          <w:numId w:val="5"/>
        </w:numPr>
        <w:autoSpaceDE w:val="0"/>
        <w:autoSpaceDN w:val="0"/>
        <w:spacing w:after="0" w:line="240" w:lineRule="auto"/>
        <w:ind w:right="227"/>
        <w:jc w:val="both"/>
        <w:rPr>
          <w:rFonts w:ascii="Arial" w:hAnsi="Arial" w:cs="Arial"/>
          <w:sz w:val="24"/>
          <w:szCs w:val="24"/>
          <w:lang w:val="en-US"/>
        </w:rPr>
      </w:pPr>
      <w:r w:rsidRPr="00E33E20">
        <w:rPr>
          <w:rFonts w:ascii="Arial" w:hAnsi="Arial" w:cs="Arial"/>
          <w:sz w:val="24"/>
          <w:szCs w:val="24"/>
          <w:lang w:val="en-US"/>
        </w:rPr>
        <w:t xml:space="preserve">Gender </w:t>
      </w:r>
      <w:proofErr w:type="gramStart"/>
      <w:r w:rsidRPr="00E33E20">
        <w:rPr>
          <w:rFonts w:ascii="Arial" w:hAnsi="Arial" w:cs="Arial"/>
          <w:sz w:val="24"/>
          <w:szCs w:val="24"/>
          <w:lang w:val="en-US"/>
        </w:rPr>
        <w:t>pay</w:t>
      </w:r>
      <w:proofErr w:type="gramEnd"/>
      <w:r w:rsidRPr="00E33E20">
        <w:rPr>
          <w:rFonts w:ascii="Arial" w:hAnsi="Arial" w:cs="Arial"/>
          <w:sz w:val="24"/>
          <w:szCs w:val="24"/>
          <w:lang w:val="en-US"/>
        </w:rPr>
        <w:t xml:space="preserve"> gap reporting procedure (utilizing administrative data) and </w:t>
      </w:r>
      <w:proofErr w:type="gramStart"/>
      <w:r w:rsidRPr="00E33E20">
        <w:rPr>
          <w:rFonts w:ascii="Arial" w:hAnsi="Arial" w:cs="Arial"/>
          <w:sz w:val="24"/>
          <w:szCs w:val="24"/>
          <w:lang w:val="en-US"/>
        </w:rPr>
        <w:t>make</w:t>
      </w:r>
      <w:proofErr w:type="gramEnd"/>
      <w:r w:rsidRPr="00E33E20">
        <w:rPr>
          <w:rFonts w:ascii="Arial" w:hAnsi="Arial" w:cs="Arial"/>
          <w:sz w:val="24"/>
          <w:szCs w:val="24"/>
          <w:lang w:val="en-US"/>
        </w:rPr>
        <w:t xml:space="preserve"> them publicly available (for employers with 100+ employees).</w:t>
      </w:r>
    </w:p>
    <w:p w14:paraId="74CDAA2A" w14:textId="77777777" w:rsidR="00476C34" w:rsidRPr="00E33E20" w:rsidRDefault="00476C34" w:rsidP="009174FD">
      <w:pPr>
        <w:spacing w:after="0" w:line="240" w:lineRule="auto"/>
        <w:ind w:left="419" w:right="227"/>
        <w:jc w:val="both"/>
        <w:rPr>
          <w:rFonts w:ascii="Arial" w:hAnsi="Arial" w:cs="Arial"/>
          <w:b/>
          <w:bCs/>
          <w:sz w:val="24"/>
          <w:szCs w:val="24"/>
          <w:lang w:val="en-US"/>
        </w:rPr>
      </w:pPr>
    </w:p>
    <w:p w14:paraId="110607C5" w14:textId="77777777" w:rsidR="00476C34" w:rsidRPr="00E33E20" w:rsidRDefault="00476C34" w:rsidP="009174FD">
      <w:pPr>
        <w:spacing w:after="0" w:line="240" w:lineRule="auto"/>
        <w:ind w:right="227"/>
        <w:jc w:val="both"/>
        <w:rPr>
          <w:rFonts w:ascii="Arial" w:hAnsi="Arial" w:cs="Arial"/>
          <w:sz w:val="24"/>
          <w:szCs w:val="24"/>
          <w:lang w:val="en-US"/>
        </w:rPr>
      </w:pPr>
      <w:r w:rsidRPr="00E33E20">
        <w:rPr>
          <w:rFonts w:ascii="Arial" w:hAnsi="Arial" w:cs="Arial"/>
          <w:sz w:val="24"/>
          <w:szCs w:val="24"/>
          <w:lang w:val="en-US"/>
        </w:rPr>
        <w:t>In 2024, Estonia launched a voluntary digital tool called </w:t>
      </w:r>
      <w:r w:rsidRPr="00E33E20">
        <w:rPr>
          <w:rFonts w:ascii="Arial" w:hAnsi="Arial" w:cs="Arial"/>
          <w:b/>
          <w:bCs/>
          <w:sz w:val="24"/>
          <w:szCs w:val="24"/>
          <w:lang w:val="en-US"/>
        </w:rPr>
        <w:t>Pay Mirror</w:t>
      </w:r>
      <w:r w:rsidRPr="00E33E20">
        <w:rPr>
          <w:rFonts w:ascii="Arial" w:hAnsi="Arial" w:cs="Arial"/>
          <w:sz w:val="24"/>
          <w:szCs w:val="24"/>
          <w:lang w:val="en-US"/>
        </w:rPr>
        <w:t> (</w:t>
      </w:r>
      <w:proofErr w:type="spellStart"/>
      <w:r w:rsidRPr="00E33E20">
        <w:rPr>
          <w:rFonts w:ascii="Arial" w:hAnsi="Arial" w:cs="Arial"/>
          <w:sz w:val="24"/>
          <w:szCs w:val="24"/>
          <w:lang w:val="en-US"/>
        </w:rPr>
        <w:t>Palgapeegel</w:t>
      </w:r>
      <w:proofErr w:type="spellEnd"/>
      <w:r w:rsidRPr="00E33E20">
        <w:rPr>
          <w:rFonts w:ascii="Arial" w:hAnsi="Arial" w:cs="Arial"/>
          <w:sz w:val="24"/>
          <w:szCs w:val="24"/>
          <w:lang w:val="en-US"/>
        </w:rPr>
        <w:t xml:space="preserve">), developed in cooperation with the Ministry of Economic Affairs and Communications, Statistics Estonia, the Labour Inspectorate, and the Health and Welfare Information Systems Centre. The tool is available to all employers at least three men and three women employees, via the Labour Inspectorate’s self-service portal (TEIS). The homepage for Pay Mirror is available </w:t>
      </w:r>
      <w:hyperlink r:id="rId12" w:history="1">
        <w:r w:rsidRPr="00E33E20">
          <w:rPr>
            <w:rStyle w:val="Hperlink"/>
            <w:rFonts w:ascii="Arial" w:hAnsi="Arial" w:cs="Arial"/>
            <w:color w:val="auto"/>
            <w:sz w:val="24"/>
            <w:szCs w:val="24"/>
            <w:lang w:val="en-US"/>
          </w:rPr>
          <w:t>here</w:t>
        </w:r>
      </w:hyperlink>
      <w:r w:rsidRPr="00E33E20">
        <w:rPr>
          <w:rFonts w:ascii="Arial" w:hAnsi="Arial" w:cs="Arial"/>
          <w:sz w:val="24"/>
          <w:szCs w:val="24"/>
          <w:lang w:val="en-US"/>
        </w:rPr>
        <w:t xml:space="preserve"> (in Estonian).</w:t>
      </w:r>
    </w:p>
    <w:p w14:paraId="2F64C372" w14:textId="77777777" w:rsidR="00476C34" w:rsidRPr="00E33E20" w:rsidRDefault="00476C34" w:rsidP="009174FD">
      <w:pPr>
        <w:spacing w:after="0" w:line="240" w:lineRule="auto"/>
        <w:ind w:left="419" w:right="227"/>
        <w:jc w:val="both"/>
        <w:rPr>
          <w:rFonts w:ascii="Arial" w:hAnsi="Arial" w:cs="Arial"/>
          <w:sz w:val="24"/>
          <w:szCs w:val="24"/>
          <w:lang w:val="en-US"/>
        </w:rPr>
      </w:pPr>
    </w:p>
    <w:p w14:paraId="47AAACB4" w14:textId="77777777" w:rsidR="00476C34" w:rsidRPr="00E33E20" w:rsidRDefault="00476C34" w:rsidP="009174FD">
      <w:pPr>
        <w:spacing w:after="0" w:line="240" w:lineRule="auto"/>
        <w:ind w:right="227"/>
        <w:jc w:val="both"/>
        <w:rPr>
          <w:rFonts w:ascii="Arial" w:hAnsi="Arial" w:cs="Arial"/>
          <w:sz w:val="24"/>
          <w:szCs w:val="24"/>
          <w:lang w:val="en-US"/>
        </w:rPr>
      </w:pPr>
      <w:r w:rsidRPr="00E33E20">
        <w:rPr>
          <w:rFonts w:ascii="Arial" w:hAnsi="Arial" w:cs="Arial"/>
          <w:sz w:val="24"/>
          <w:szCs w:val="24"/>
          <w:lang w:val="en-US"/>
        </w:rPr>
        <w:t>Pay Mirror enables employers to monitor gender pay gaps using administrative data already submitted to national registers. Employers do not need to input additional data. The indicators provided include:</w:t>
      </w:r>
    </w:p>
    <w:p w14:paraId="79B04962" w14:textId="77777777" w:rsidR="00476C34" w:rsidRPr="00E33E20" w:rsidRDefault="00476C34" w:rsidP="00241013">
      <w:pPr>
        <w:widowControl w:val="0"/>
        <w:numPr>
          <w:ilvl w:val="0"/>
          <w:numId w:val="6"/>
        </w:numPr>
        <w:autoSpaceDE w:val="0"/>
        <w:autoSpaceDN w:val="0"/>
        <w:spacing w:after="0" w:line="240" w:lineRule="auto"/>
        <w:ind w:right="227"/>
        <w:jc w:val="both"/>
        <w:rPr>
          <w:rFonts w:ascii="Arial" w:hAnsi="Arial" w:cs="Arial"/>
          <w:sz w:val="24"/>
          <w:szCs w:val="24"/>
          <w:lang w:val="en-US"/>
        </w:rPr>
      </w:pPr>
      <w:r w:rsidRPr="00E33E20">
        <w:rPr>
          <w:rFonts w:ascii="Arial" w:hAnsi="Arial" w:cs="Arial"/>
          <w:sz w:val="24"/>
          <w:szCs w:val="24"/>
          <w:lang w:val="en-US"/>
        </w:rPr>
        <w:t xml:space="preserve">Gender </w:t>
      </w:r>
      <w:proofErr w:type="gramStart"/>
      <w:r w:rsidRPr="00E33E20">
        <w:rPr>
          <w:rFonts w:ascii="Arial" w:hAnsi="Arial" w:cs="Arial"/>
          <w:sz w:val="24"/>
          <w:szCs w:val="24"/>
          <w:lang w:val="en-US"/>
        </w:rPr>
        <w:t>pay</w:t>
      </w:r>
      <w:proofErr w:type="gramEnd"/>
      <w:r w:rsidRPr="00E33E20">
        <w:rPr>
          <w:rFonts w:ascii="Arial" w:hAnsi="Arial" w:cs="Arial"/>
          <w:sz w:val="24"/>
          <w:szCs w:val="24"/>
          <w:lang w:val="en-US"/>
        </w:rPr>
        <w:t xml:space="preserve"> gap based on average and median wages,</w:t>
      </w:r>
    </w:p>
    <w:p w14:paraId="7AFC2631" w14:textId="77777777" w:rsidR="00476C34" w:rsidRPr="00E33E20" w:rsidRDefault="00476C34" w:rsidP="00241013">
      <w:pPr>
        <w:widowControl w:val="0"/>
        <w:numPr>
          <w:ilvl w:val="0"/>
          <w:numId w:val="6"/>
        </w:numPr>
        <w:autoSpaceDE w:val="0"/>
        <w:autoSpaceDN w:val="0"/>
        <w:spacing w:after="0" w:line="240" w:lineRule="auto"/>
        <w:ind w:right="227"/>
        <w:jc w:val="both"/>
        <w:rPr>
          <w:rFonts w:ascii="Arial" w:hAnsi="Arial" w:cs="Arial"/>
          <w:sz w:val="24"/>
          <w:szCs w:val="24"/>
          <w:lang w:val="en-US"/>
        </w:rPr>
      </w:pPr>
      <w:r w:rsidRPr="00E33E20">
        <w:rPr>
          <w:rFonts w:ascii="Arial" w:hAnsi="Arial" w:cs="Arial"/>
          <w:sz w:val="24"/>
          <w:szCs w:val="24"/>
          <w:lang w:val="en-US"/>
        </w:rPr>
        <w:t>Gender distribution of the workforce and pay quartiles,</w:t>
      </w:r>
    </w:p>
    <w:p w14:paraId="36520DBA" w14:textId="77777777" w:rsidR="00476C34" w:rsidRPr="00E33E20" w:rsidRDefault="00476C34" w:rsidP="00241013">
      <w:pPr>
        <w:widowControl w:val="0"/>
        <w:numPr>
          <w:ilvl w:val="0"/>
          <w:numId w:val="6"/>
        </w:numPr>
        <w:autoSpaceDE w:val="0"/>
        <w:autoSpaceDN w:val="0"/>
        <w:spacing w:after="0" w:line="240" w:lineRule="auto"/>
        <w:ind w:right="227"/>
        <w:jc w:val="both"/>
        <w:rPr>
          <w:rFonts w:ascii="Arial" w:hAnsi="Arial" w:cs="Arial"/>
          <w:sz w:val="24"/>
          <w:szCs w:val="24"/>
          <w:lang w:val="en-US"/>
        </w:rPr>
      </w:pPr>
      <w:r w:rsidRPr="00E33E20">
        <w:rPr>
          <w:rFonts w:ascii="Arial" w:hAnsi="Arial" w:cs="Arial"/>
          <w:sz w:val="24"/>
          <w:szCs w:val="24"/>
          <w:lang w:val="en-US"/>
        </w:rPr>
        <w:t>Average and median wages by gender and occupation,</w:t>
      </w:r>
    </w:p>
    <w:p w14:paraId="04E57004" w14:textId="77777777" w:rsidR="00476C34" w:rsidRPr="00E33E20" w:rsidRDefault="00476C34" w:rsidP="00241013">
      <w:pPr>
        <w:widowControl w:val="0"/>
        <w:numPr>
          <w:ilvl w:val="0"/>
          <w:numId w:val="6"/>
        </w:numPr>
        <w:autoSpaceDE w:val="0"/>
        <w:autoSpaceDN w:val="0"/>
        <w:spacing w:after="0" w:line="240" w:lineRule="auto"/>
        <w:ind w:right="227"/>
        <w:jc w:val="both"/>
        <w:rPr>
          <w:rFonts w:ascii="Arial" w:hAnsi="Arial" w:cs="Arial"/>
          <w:sz w:val="24"/>
          <w:szCs w:val="24"/>
          <w:lang w:val="en-US"/>
        </w:rPr>
      </w:pPr>
      <w:r w:rsidRPr="00E33E20">
        <w:rPr>
          <w:rFonts w:ascii="Arial" w:hAnsi="Arial" w:cs="Arial"/>
          <w:sz w:val="24"/>
          <w:szCs w:val="24"/>
          <w:lang w:val="en-US"/>
        </w:rPr>
        <w:t>Gender gap in irregular pay (e.g. bonuses).</w:t>
      </w:r>
    </w:p>
    <w:p w14:paraId="7106FBF4" w14:textId="77777777" w:rsidR="00476C34" w:rsidRPr="00E33E20" w:rsidRDefault="00476C34" w:rsidP="009174FD">
      <w:pPr>
        <w:spacing w:after="0" w:line="240" w:lineRule="auto"/>
        <w:ind w:left="419" w:right="227"/>
        <w:jc w:val="both"/>
        <w:rPr>
          <w:rFonts w:ascii="Arial" w:hAnsi="Arial" w:cs="Arial"/>
          <w:sz w:val="24"/>
          <w:szCs w:val="24"/>
          <w:lang w:val="en-US"/>
        </w:rPr>
      </w:pPr>
    </w:p>
    <w:p w14:paraId="33FCA9D1" w14:textId="77777777" w:rsidR="00476C34" w:rsidRPr="00E33E20" w:rsidRDefault="00476C34" w:rsidP="009174FD">
      <w:pPr>
        <w:spacing w:after="0" w:line="240" w:lineRule="auto"/>
        <w:ind w:right="227"/>
        <w:jc w:val="both"/>
        <w:rPr>
          <w:rFonts w:ascii="Arial" w:hAnsi="Arial" w:cs="Arial"/>
          <w:sz w:val="24"/>
          <w:szCs w:val="24"/>
          <w:lang w:val="en-US"/>
        </w:rPr>
      </w:pPr>
      <w:r w:rsidRPr="00E33E20">
        <w:rPr>
          <w:rFonts w:ascii="Arial" w:hAnsi="Arial" w:cs="Arial"/>
          <w:sz w:val="24"/>
          <w:szCs w:val="24"/>
          <w:lang w:val="en-US"/>
        </w:rPr>
        <w:lastRenderedPageBreak/>
        <w:t xml:space="preserve">The tool is designed to raise awareness and support employers. Importantly, the data is processed only upon the employer’s request and is accessible only to the employer and their authorized representatives. The Labour Inspectorate does not have access to the data unless it is voluntarily shared. An average of 400 </w:t>
      </w:r>
      <w:proofErr w:type="gramStart"/>
      <w:r w:rsidRPr="00E33E20">
        <w:rPr>
          <w:rFonts w:ascii="Arial" w:hAnsi="Arial" w:cs="Arial"/>
          <w:sz w:val="24"/>
          <w:szCs w:val="24"/>
          <w:lang w:val="en-US"/>
        </w:rPr>
        <w:t>employers</w:t>
      </w:r>
      <w:proofErr w:type="gramEnd"/>
      <w:r w:rsidRPr="00E33E20">
        <w:rPr>
          <w:rFonts w:ascii="Arial" w:hAnsi="Arial" w:cs="Arial"/>
          <w:sz w:val="24"/>
          <w:szCs w:val="24"/>
          <w:lang w:val="en-US"/>
        </w:rPr>
        <w:t xml:space="preserve"> use Pay Mirror each month. For comparison, approximately 900 employers will be required to report under the mandatory gender pay gap reporting requirements. </w:t>
      </w:r>
    </w:p>
    <w:p w14:paraId="7F0B793C" w14:textId="77777777" w:rsidR="00476C34" w:rsidRPr="00E33E20" w:rsidRDefault="00476C34" w:rsidP="009174FD">
      <w:pPr>
        <w:spacing w:after="0" w:line="240" w:lineRule="auto"/>
        <w:ind w:right="227"/>
        <w:jc w:val="both"/>
        <w:rPr>
          <w:rFonts w:ascii="Arial" w:hAnsi="Arial" w:cs="Arial"/>
          <w:sz w:val="24"/>
          <w:szCs w:val="24"/>
          <w:lang w:val="en-US"/>
        </w:rPr>
      </w:pPr>
    </w:p>
    <w:p w14:paraId="79B87782" w14:textId="40D6C85F" w:rsidR="00523A1B" w:rsidRPr="00E33E20" w:rsidRDefault="00476C34" w:rsidP="009174FD">
      <w:pPr>
        <w:spacing w:after="0" w:line="240" w:lineRule="auto"/>
        <w:ind w:right="227"/>
        <w:jc w:val="both"/>
        <w:rPr>
          <w:rFonts w:ascii="Arial" w:hAnsi="Arial" w:cs="Arial"/>
          <w:i/>
          <w:iCs/>
          <w:sz w:val="24"/>
          <w:szCs w:val="24"/>
          <w:lang w:val="en-US"/>
        </w:rPr>
      </w:pPr>
      <w:r w:rsidRPr="00E33E20">
        <w:rPr>
          <w:rFonts w:ascii="Arial" w:hAnsi="Arial" w:cs="Arial"/>
          <w:sz w:val="24"/>
          <w:szCs w:val="24"/>
          <w:lang w:val="en-US"/>
        </w:rPr>
        <w:t xml:space="preserve">To support the implementation of the </w:t>
      </w:r>
      <w:proofErr w:type="gramStart"/>
      <w:r w:rsidRPr="00E33E20">
        <w:rPr>
          <w:rFonts w:ascii="Arial" w:hAnsi="Arial" w:cs="Arial"/>
          <w:sz w:val="24"/>
          <w:szCs w:val="24"/>
          <w:lang w:val="en-US"/>
        </w:rPr>
        <w:t>EU</w:t>
      </w:r>
      <w:proofErr w:type="gramEnd"/>
      <w:r w:rsidRPr="00E33E20">
        <w:rPr>
          <w:rFonts w:ascii="Arial" w:hAnsi="Arial" w:cs="Arial"/>
          <w:sz w:val="24"/>
          <w:szCs w:val="24"/>
          <w:lang w:val="en-US"/>
        </w:rPr>
        <w:t xml:space="preserve"> Pay Transparency Directive and ensure equal pay for equal work, Estonia has launched the “PALK” project. This initiative supplements existing measures by providing employers with a comprehensive methodology for job evaluation. The project includes a comparative analysis of job evaluation methods, the adaptation of a suitable model for Estonian employers, and the development of practical guidelines. In addition, the government is delivering in-person and online training to help employers adopt the methodology effectively. These efforts aim to assist employers in building transparent and gender-neutral pay structures, in line with the requirements of the new pay transparency measures. The project also strengthens institutional capacity through training and knowledge exchange for policymakers and monitoring authorities.</w:t>
      </w:r>
    </w:p>
    <w:p w14:paraId="4EF418B6" w14:textId="77777777" w:rsidR="00523A1B" w:rsidRPr="00E33E20" w:rsidRDefault="00523A1B" w:rsidP="009174FD">
      <w:pPr>
        <w:spacing w:after="0" w:line="240" w:lineRule="auto"/>
        <w:jc w:val="both"/>
        <w:rPr>
          <w:rFonts w:ascii="Arial" w:hAnsi="Arial" w:cs="Arial"/>
          <w:b/>
          <w:sz w:val="24"/>
          <w:szCs w:val="24"/>
          <w:lang w:val="en-US"/>
        </w:rPr>
      </w:pPr>
    </w:p>
    <w:p w14:paraId="2EF2CA11" w14:textId="43F1E871" w:rsidR="008D1957" w:rsidRPr="00E33E20" w:rsidRDefault="00F0402C" w:rsidP="009174FD">
      <w:pPr>
        <w:spacing w:after="0" w:line="240" w:lineRule="auto"/>
        <w:jc w:val="both"/>
        <w:rPr>
          <w:rFonts w:ascii="Arial" w:hAnsi="Arial" w:cs="Arial"/>
          <w:b/>
          <w:bCs/>
          <w:sz w:val="24"/>
          <w:szCs w:val="24"/>
          <w:lang w:val="en-US"/>
        </w:rPr>
      </w:pPr>
      <w:r w:rsidRPr="00E33E20">
        <w:rPr>
          <w:rFonts w:ascii="Arial" w:hAnsi="Arial" w:cs="Arial"/>
          <w:b/>
          <w:bCs/>
          <w:sz w:val="24"/>
          <w:szCs w:val="24"/>
          <w:lang w:val="en-US"/>
        </w:rPr>
        <w:t>Policy measures and public communication</w:t>
      </w:r>
    </w:p>
    <w:p w14:paraId="1D4D97F1" w14:textId="77777777" w:rsidR="00F0402C" w:rsidRPr="00E33E20" w:rsidRDefault="00F0402C" w:rsidP="009174FD">
      <w:pPr>
        <w:spacing w:after="0" w:line="240" w:lineRule="auto"/>
        <w:jc w:val="both"/>
        <w:rPr>
          <w:rFonts w:ascii="Arial" w:hAnsi="Arial" w:cs="Arial"/>
          <w:b/>
          <w:bCs/>
          <w:sz w:val="24"/>
          <w:szCs w:val="24"/>
          <w:lang w:val="en-US"/>
        </w:rPr>
      </w:pPr>
    </w:p>
    <w:p w14:paraId="765479CC" w14:textId="77777777" w:rsidR="0047225B" w:rsidRPr="00E33E20" w:rsidRDefault="0047225B" w:rsidP="009174FD">
      <w:pPr>
        <w:pStyle w:val="Kehatekst"/>
        <w:ind w:right="174"/>
        <w:jc w:val="both"/>
        <w:rPr>
          <w:sz w:val="24"/>
          <w:szCs w:val="24"/>
        </w:rPr>
      </w:pPr>
      <w:r w:rsidRPr="00E33E20">
        <w:rPr>
          <w:sz w:val="24"/>
          <w:szCs w:val="24"/>
        </w:rPr>
        <w:t>Since 2023, Estonia has launched a series of targeted initiatives to reduce occupational gender segregation by addressing gender stereotypes in career counselling and education. These measures are part of a broader strategic effort supported by the European Structural Funds, with a total budget of €3.5 million allocated to activities aimed at reducing gender segregation in education and the labour market.</w:t>
      </w:r>
    </w:p>
    <w:p w14:paraId="21D18EF5" w14:textId="77777777" w:rsidR="0047225B" w:rsidRPr="00E33E20" w:rsidRDefault="0047225B" w:rsidP="009174FD">
      <w:pPr>
        <w:pStyle w:val="Kehatekst"/>
        <w:ind w:right="174"/>
        <w:jc w:val="both"/>
        <w:rPr>
          <w:sz w:val="24"/>
          <w:szCs w:val="24"/>
        </w:rPr>
      </w:pPr>
    </w:p>
    <w:p w14:paraId="7F660C9D" w14:textId="77777777" w:rsidR="0047225B" w:rsidRPr="00E33E20" w:rsidRDefault="0047225B" w:rsidP="009174FD">
      <w:pPr>
        <w:pStyle w:val="Kehatekst"/>
        <w:ind w:right="174"/>
        <w:jc w:val="both"/>
        <w:rPr>
          <w:sz w:val="24"/>
          <w:szCs w:val="24"/>
        </w:rPr>
      </w:pPr>
      <w:r w:rsidRPr="00E33E20">
        <w:rPr>
          <w:sz w:val="24"/>
          <w:szCs w:val="24"/>
        </w:rPr>
        <w:t>A key component of this strategy is the development of a </w:t>
      </w:r>
      <w:r w:rsidRPr="00E33E20">
        <w:rPr>
          <w:b/>
          <w:bCs/>
          <w:sz w:val="24"/>
          <w:szCs w:val="24"/>
        </w:rPr>
        <w:t xml:space="preserve">gender equality training </w:t>
      </w:r>
      <w:proofErr w:type="spellStart"/>
      <w:r w:rsidRPr="00E33E20">
        <w:rPr>
          <w:b/>
          <w:bCs/>
          <w:sz w:val="24"/>
          <w:szCs w:val="24"/>
        </w:rPr>
        <w:t>programme</w:t>
      </w:r>
      <w:proofErr w:type="spellEnd"/>
      <w:r w:rsidRPr="00E33E20">
        <w:rPr>
          <w:b/>
          <w:bCs/>
          <w:sz w:val="24"/>
          <w:szCs w:val="24"/>
        </w:rPr>
        <w:t xml:space="preserve"> for career counsellors</w:t>
      </w:r>
      <w:r w:rsidRPr="00E33E20">
        <w:rPr>
          <w:sz w:val="24"/>
          <w:szCs w:val="24"/>
        </w:rPr>
        <w:t xml:space="preserve"> working at the Estonian Unemployment Insurance Fund. The </w:t>
      </w:r>
      <w:proofErr w:type="spellStart"/>
      <w:r w:rsidRPr="00E33E20">
        <w:rPr>
          <w:sz w:val="24"/>
          <w:szCs w:val="24"/>
        </w:rPr>
        <w:t>programme</w:t>
      </w:r>
      <w:proofErr w:type="spellEnd"/>
      <w:r w:rsidRPr="00E33E20">
        <w:rPr>
          <w:sz w:val="24"/>
          <w:szCs w:val="24"/>
        </w:rPr>
        <w:t xml:space="preserve"> is designed to equip counsellors with the knowledge and tools necessary to challenge gender stereotypes and promote non-traditional career paths among both youth and adults. The training will be integrated into the in-job training system for career counsellors, who provide guidance to adult clients as well as pupils in grades 7–12 across Estonia. The online course that is a part of the training program is available at </w:t>
      </w:r>
      <w:hyperlink r:id="rId13" w:history="1">
        <w:r w:rsidRPr="00E33E20">
          <w:rPr>
            <w:rStyle w:val="Hperlink"/>
            <w:color w:val="auto"/>
            <w:sz w:val="24"/>
            <w:szCs w:val="24"/>
          </w:rPr>
          <w:t>The Digital State Academy.</w:t>
        </w:r>
      </w:hyperlink>
    </w:p>
    <w:p w14:paraId="08FEEB69" w14:textId="77777777" w:rsidR="0047225B" w:rsidRPr="00E33E20" w:rsidRDefault="0047225B" w:rsidP="009174FD">
      <w:pPr>
        <w:pStyle w:val="Kehatekst"/>
        <w:ind w:right="174"/>
        <w:jc w:val="both"/>
        <w:rPr>
          <w:sz w:val="24"/>
          <w:szCs w:val="24"/>
        </w:rPr>
      </w:pPr>
    </w:p>
    <w:p w14:paraId="3699BEBD" w14:textId="77777777" w:rsidR="0047225B" w:rsidRPr="00E33E20" w:rsidRDefault="0047225B" w:rsidP="009174FD">
      <w:pPr>
        <w:pStyle w:val="Kehatekst"/>
        <w:ind w:right="174"/>
        <w:jc w:val="both"/>
        <w:rPr>
          <w:sz w:val="24"/>
          <w:szCs w:val="24"/>
        </w:rPr>
      </w:pPr>
      <w:r w:rsidRPr="00E33E20">
        <w:rPr>
          <w:sz w:val="24"/>
          <w:szCs w:val="24"/>
        </w:rPr>
        <w:t>In parallel, the </w:t>
      </w:r>
      <w:r w:rsidRPr="00E33E20">
        <w:rPr>
          <w:b/>
          <w:bCs/>
          <w:sz w:val="24"/>
          <w:szCs w:val="24"/>
        </w:rPr>
        <w:t>Ministry of Economic Affairs and Communications</w:t>
      </w:r>
      <w:r w:rsidRPr="00E33E20">
        <w:rPr>
          <w:sz w:val="24"/>
          <w:szCs w:val="24"/>
        </w:rPr>
        <w:t> is implementing a range of activities during 2023–2029 to combat gender stereotypes and foster gender balance in sectors marked by significant segregation, such as STEM, ICT, education, health, and welfare. These activities include:</w:t>
      </w:r>
    </w:p>
    <w:p w14:paraId="433716DA" w14:textId="77777777" w:rsidR="0047225B" w:rsidRPr="00E33E20" w:rsidRDefault="0047225B" w:rsidP="009174FD">
      <w:pPr>
        <w:pStyle w:val="Kehatekst"/>
        <w:ind w:right="174"/>
        <w:jc w:val="both"/>
        <w:rPr>
          <w:sz w:val="24"/>
          <w:szCs w:val="24"/>
        </w:rPr>
      </w:pPr>
    </w:p>
    <w:p w14:paraId="337479E5" w14:textId="77777777" w:rsidR="0047225B" w:rsidRPr="00E33E20" w:rsidRDefault="0047225B" w:rsidP="00241013">
      <w:pPr>
        <w:pStyle w:val="Kehatekst"/>
        <w:numPr>
          <w:ilvl w:val="0"/>
          <w:numId w:val="4"/>
        </w:numPr>
        <w:ind w:right="174"/>
        <w:jc w:val="both"/>
        <w:rPr>
          <w:sz w:val="24"/>
          <w:szCs w:val="24"/>
        </w:rPr>
      </w:pPr>
      <w:r w:rsidRPr="00E33E20">
        <w:rPr>
          <w:sz w:val="24"/>
          <w:szCs w:val="24"/>
        </w:rPr>
        <w:t xml:space="preserve">Conducting research on gender stereotypes and segregation (Report on the factors contributing to the underrepresentation of men in the fields of education, health and welfare is available </w:t>
      </w:r>
      <w:hyperlink r:id="rId14" w:history="1">
        <w:r w:rsidRPr="00E33E20">
          <w:rPr>
            <w:rStyle w:val="Hperlink"/>
            <w:color w:val="auto"/>
            <w:sz w:val="24"/>
            <w:szCs w:val="24"/>
          </w:rPr>
          <w:t>here</w:t>
        </w:r>
      </w:hyperlink>
      <w:r w:rsidRPr="00E33E20">
        <w:rPr>
          <w:sz w:val="24"/>
          <w:szCs w:val="24"/>
        </w:rPr>
        <w:t>),</w:t>
      </w:r>
    </w:p>
    <w:p w14:paraId="167511B9" w14:textId="77777777" w:rsidR="0047225B" w:rsidRPr="00E33E20" w:rsidRDefault="0047225B" w:rsidP="00241013">
      <w:pPr>
        <w:pStyle w:val="Kehatekst"/>
        <w:numPr>
          <w:ilvl w:val="0"/>
          <w:numId w:val="4"/>
        </w:numPr>
        <w:ind w:right="174"/>
        <w:jc w:val="both"/>
        <w:rPr>
          <w:sz w:val="24"/>
          <w:szCs w:val="24"/>
        </w:rPr>
      </w:pPr>
      <w:r w:rsidRPr="00E33E20">
        <w:rPr>
          <w:sz w:val="24"/>
          <w:szCs w:val="24"/>
        </w:rPr>
        <w:t>Organizing training sessions for educators and professionals,</w:t>
      </w:r>
    </w:p>
    <w:p w14:paraId="24359D48" w14:textId="77777777" w:rsidR="0047225B" w:rsidRPr="00E33E20" w:rsidRDefault="0047225B" w:rsidP="00241013">
      <w:pPr>
        <w:pStyle w:val="Kehatekst"/>
        <w:numPr>
          <w:ilvl w:val="0"/>
          <w:numId w:val="4"/>
        </w:numPr>
        <w:ind w:right="174"/>
        <w:jc w:val="both"/>
        <w:rPr>
          <w:sz w:val="24"/>
          <w:szCs w:val="24"/>
        </w:rPr>
      </w:pPr>
      <w:r w:rsidRPr="00E33E20">
        <w:rPr>
          <w:sz w:val="24"/>
          <w:szCs w:val="24"/>
        </w:rPr>
        <w:t>Running awareness-raising campaigns to promote inclusive career choices,</w:t>
      </w:r>
    </w:p>
    <w:p w14:paraId="37DF9A0A" w14:textId="77777777" w:rsidR="0047225B" w:rsidRPr="00E33E20" w:rsidRDefault="0047225B" w:rsidP="00241013">
      <w:pPr>
        <w:pStyle w:val="Kehatekst"/>
        <w:numPr>
          <w:ilvl w:val="0"/>
          <w:numId w:val="4"/>
        </w:numPr>
        <w:ind w:right="174"/>
        <w:jc w:val="both"/>
        <w:rPr>
          <w:sz w:val="24"/>
          <w:szCs w:val="24"/>
        </w:rPr>
      </w:pPr>
      <w:r w:rsidRPr="00E33E20">
        <w:rPr>
          <w:sz w:val="24"/>
          <w:szCs w:val="24"/>
        </w:rPr>
        <w:t>Supporting employers and educational institutions through open calls for project funding.</w:t>
      </w:r>
    </w:p>
    <w:p w14:paraId="18254508" w14:textId="77777777" w:rsidR="0047225B" w:rsidRPr="00E33E20" w:rsidRDefault="0047225B" w:rsidP="009174FD">
      <w:pPr>
        <w:pStyle w:val="Kehatekst"/>
        <w:ind w:right="174"/>
        <w:jc w:val="both"/>
        <w:rPr>
          <w:sz w:val="24"/>
          <w:szCs w:val="24"/>
        </w:rPr>
      </w:pPr>
    </w:p>
    <w:p w14:paraId="11C01B50" w14:textId="159AF75B" w:rsidR="0047225B" w:rsidRPr="00E33E20" w:rsidRDefault="0047225B" w:rsidP="009174FD">
      <w:pPr>
        <w:pStyle w:val="Kehatekst"/>
        <w:ind w:right="174"/>
        <w:jc w:val="both"/>
        <w:rPr>
          <w:sz w:val="24"/>
          <w:szCs w:val="24"/>
        </w:rPr>
      </w:pPr>
      <w:r w:rsidRPr="00E33E20">
        <w:rPr>
          <w:sz w:val="24"/>
          <w:szCs w:val="24"/>
        </w:rPr>
        <w:t>These efforts aim to create a more inclusive and stereotype-free environment in both education and employment, encouraging individuals to pursue careers based on interest and aptitude rather than societal expectations. The initiatives also contribute to the implementation of the Welfare Development Plan 2023–2030, which prioritizes gender equality as a cross-cutting objective in all policy areas.</w:t>
      </w:r>
    </w:p>
    <w:p w14:paraId="056B0967" w14:textId="77777777" w:rsidR="0047225B" w:rsidRPr="00E33E20" w:rsidRDefault="0047225B" w:rsidP="009174FD">
      <w:pPr>
        <w:spacing w:after="0" w:line="240" w:lineRule="auto"/>
        <w:jc w:val="both"/>
        <w:rPr>
          <w:rFonts w:ascii="Arial" w:hAnsi="Arial" w:cs="Arial"/>
          <w:bCs/>
          <w:iCs/>
          <w:sz w:val="24"/>
          <w:szCs w:val="24"/>
          <w:lang w:val="en-US"/>
        </w:rPr>
      </w:pPr>
    </w:p>
    <w:p w14:paraId="3C757DAE" w14:textId="11E47BB8" w:rsidR="00ED6079" w:rsidRPr="00E33E20" w:rsidRDefault="00ED6079" w:rsidP="009174FD">
      <w:pPr>
        <w:spacing w:after="0" w:line="240" w:lineRule="auto"/>
        <w:jc w:val="both"/>
        <w:rPr>
          <w:rFonts w:ascii="Arial" w:hAnsi="Arial" w:cs="Arial"/>
          <w:bCs/>
          <w:iCs/>
          <w:sz w:val="24"/>
          <w:szCs w:val="24"/>
          <w:lang w:val="en-US"/>
        </w:rPr>
      </w:pPr>
      <w:r w:rsidRPr="00E33E20">
        <w:rPr>
          <w:rFonts w:ascii="Arial" w:hAnsi="Arial" w:cs="Arial"/>
          <w:bCs/>
          <w:iCs/>
          <w:sz w:val="24"/>
          <w:szCs w:val="24"/>
          <w:lang w:val="en-US"/>
        </w:rPr>
        <w:t>Strategic communication to raise public awareness of the gender pay gap and the right to equal remuneration is a key annual activity in Estonia’s gender equality policy. These efforts are embedded in the Welfare Development Plan 2023–2030, which emphasizes changing societal attitudes and valuing gender equality across all sectors. One prominent example is the observance of Equal Pay Day, which marks the symbolic date when women in Estonia have earned, on average, the same amount that men earned by the end of the previous year. This annual event serves as a public reminder of the persistent wage disparities and is used to engage the media, employers, and civil society in discussions about pay equity.</w:t>
      </w:r>
    </w:p>
    <w:p w14:paraId="58A3E254" w14:textId="77777777" w:rsidR="00464C88" w:rsidRPr="00E33E20" w:rsidRDefault="00464C88" w:rsidP="009174FD">
      <w:pPr>
        <w:spacing w:after="0" w:line="240" w:lineRule="auto"/>
        <w:jc w:val="both"/>
        <w:rPr>
          <w:rFonts w:ascii="Arial" w:hAnsi="Arial" w:cs="Arial"/>
          <w:bCs/>
          <w:iCs/>
          <w:sz w:val="24"/>
          <w:szCs w:val="24"/>
          <w:lang w:val="en-US"/>
        </w:rPr>
      </w:pPr>
    </w:p>
    <w:p w14:paraId="4291078A" w14:textId="09E52ACF" w:rsidR="002943C2" w:rsidRPr="00E33E20" w:rsidRDefault="00ED6079" w:rsidP="009174FD">
      <w:pPr>
        <w:spacing w:after="0" w:line="240" w:lineRule="auto"/>
        <w:jc w:val="both"/>
        <w:rPr>
          <w:rFonts w:ascii="Arial" w:hAnsi="Arial" w:cs="Arial"/>
          <w:bCs/>
          <w:iCs/>
          <w:sz w:val="24"/>
          <w:szCs w:val="24"/>
          <w:lang w:val="en-US"/>
        </w:rPr>
      </w:pPr>
      <w:r w:rsidRPr="00E33E20">
        <w:rPr>
          <w:rFonts w:ascii="Arial" w:hAnsi="Arial" w:cs="Arial"/>
          <w:bCs/>
          <w:iCs/>
          <w:sz w:val="24"/>
          <w:szCs w:val="24"/>
          <w:lang w:val="en-US"/>
        </w:rPr>
        <w:t>The awareness on gender pay gap is monitored in gender equality monitoring. Last round in 2021 (</w:t>
      </w:r>
      <w:hyperlink r:id="rId15" w:history="1">
        <w:r w:rsidRPr="00E33E20">
          <w:rPr>
            <w:rStyle w:val="Hperlink"/>
            <w:rFonts w:ascii="Arial" w:hAnsi="Arial" w:cs="Arial"/>
            <w:bCs/>
            <w:iCs/>
            <w:color w:val="auto"/>
            <w:sz w:val="24"/>
            <w:szCs w:val="24"/>
            <w:lang w:val="en-US"/>
          </w:rPr>
          <w:t>published in 2022</w:t>
        </w:r>
      </w:hyperlink>
      <w:r w:rsidRPr="00E33E20">
        <w:rPr>
          <w:rFonts w:ascii="Arial" w:hAnsi="Arial" w:cs="Arial"/>
          <w:bCs/>
          <w:iCs/>
          <w:sz w:val="24"/>
          <w:szCs w:val="24"/>
          <w:lang w:val="en-US"/>
        </w:rPr>
        <w:t>), demonstrated that awareness of the gender pay gap has increased by 14 percentage points compared to 2016 – from 69% to 83% (a 16 percentage point increase among people aged 15–74). Men and women are equally aware of the issue. 54% of those aware of the gender pay gap consider it a serious or very serious problem, with women significantly more likely to do so (71%) than men (35%). Compared to 2016, the share of people who view the pay gap as a problem has decreased notably – from 64% to 54%. 96% of the population agrees that men and women should receive equal pay for the same work. Support is slightly lower for the principle that men and women performing different work of equal value – in terms of responsibility, skills, and effort – should also receive equal pay, with 84% in agreement.</w:t>
      </w:r>
    </w:p>
    <w:p w14:paraId="01033A28" w14:textId="77777777" w:rsidR="002943C2" w:rsidRPr="00E33E20" w:rsidRDefault="002943C2" w:rsidP="009174FD">
      <w:pPr>
        <w:spacing w:after="0" w:line="240" w:lineRule="auto"/>
        <w:jc w:val="both"/>
        <w:rPr>
          <w:rFonts w:ascii="Arial" w:hAnsi="Arial" w:cs="Arial"/>
          <w:b/>
          <w:iCs/>
          <w:sz w:val="24"/>
          <w:szCs w:val="24"/>
          <w:lang w:val="en-US"/>
        </w:rPr>
      </w:pPr>
    </w:p>
    <w:p w14:paraId="0D0DC853" w14:textId="34FB0693" w:rsidR="001C4F16" w:rsidRPr="00E33E20" w:rsidRDefault="005D1CCB" w:rsidP="009174FD">
      <w:pPr>
        <w:spacing w:after="0" w:line="240" w:lineRule="auto"/>
        <w:jc w:val="both"/>
        <w:rPr>
          <w:rFonts w:ascii="Arial" w:hAnsi="Arial" w:cs="Arial"/>
          <w:b/>
          <w:iCs/>
          <w:sz w:val="24"/>
          <w:szCs w:val="24"/>
          <w:lang w:val="en-US"/>
        </w:rPr>
      </w:pPr>
      <w:r w:rsidRPr="00E33E20">
        <w:rPr>
          <w:rFonts w:ascii="Arial" w:hAnsi="Arial" w:cs="Arial"/>
          <w:b/>
          <w:iCs/>
          <w:sz w:val="24"/>
          <w:szCs w:val="24"/>
          <w:lang w:val="en-US"/>
        </w:rPr>
        <w:t>Number of gender</w:t>
      </w:r>
      <w:r w:rsidR="002943C2" w:rsidRPr="00E33E20">
        <w:rPr>
          <w:rFonts w:ascii="Arial" w:hAnsi="Arial" w:cs="Arial"/>
          <w:b/>
          <w:iCs/>
          <w:sz w:val="24"/>
          <w:szCs w:val="24"/>
          <w:lang w:val="en-US"/>
        </w:rPr>
        <w:t>-based</w:t>
      </w:r>
      <w:r w:rsidRPr="00E33E20">
        <w:rPr>
          <w:rFonts w:ascii="Arial" w:hAnsi="Arial" w:cs="Arial"/>
          <w:b/>
          <w:iCs/>
          <w:sz w:val="24"/>
          <w:szCs w:val="24"/>
          <w:lang w:val="en-US"/>
        </w:rPr>
        <w:t xml:space="preserve"> pay inequality disputes</w:t>
      </w:r>
    </w:p>
    <w:p w14:paraId="138DA105" w14:textId="77777777" w:rsidR="00796F4C" w:rsidRPr="00E33E20" w:rsidRDefault="00796F4C" w:rsidP="009174FD">
      <w:pPr>
        <w:spacing w:after="0" w:line="240" w:lineRule="auto"/>
        <w:jc w:val="both"/>
        <w:rPr>
          <w:rFonts w:ascii="Arial" w:hAnsi="Arial" w:cs="Arial"/>
          <w:b/>
          <w:iCs/>
          <w:sz w:val="24"/>
          <w:szCs w:val="24"/>
          <w:lang w:val="en-US"/>
        </w:rPr>
      </w:pPr>
    </w:p>
    <w:p w14:paraId="1B373B04" w14:textId="77777777" w:rsidR="005D1CCB" w:rsidRPr="00E33E20" w:rsidRDefault="001C4F16" w:rsidP="009174FD">
      <w:pPr>
        <w:spacing w:after="0" w:line="240" w:lineRule="auto"/>
        <w:jc w:val="both"/>
        <w:rPr>
          <w:rFonts w:ascii="Arial" w:hAnsi="Arial" w:cs="Arial"/>
          <w:bCs/>
          <w:iCs/>
          <w:sz w:val="24"/>
          <w:szCs w:val="24"/>
          <w:lang w:val="en-US"/>
        </w:rPr>
      </w:pPr>
      <w:r w:rsidRPr="00E33E20">
        <w:rPr>
          <w:rFonts w:ascii="Arial" w:hAnsi="Arial" w:cs="Arial"/>
          <w:bCs/>
          <w:iCs/>
          <w:sz w:val="24"/>
          <w:szCs w:val="24"/>
          <w:lang w:val="en-US"/>
        </w:rPr>
        <w:t>The labour inspectors do not carry out supervision over equal pay. After the amendment of Gender Equality Act, when transposing the EU Pay Transparency Directive, the inspectors will start carrying out supervision over equal pay as of 2027.</w:t>
      </w:r>
    </w:p>
    <w:p w14:paraId="188DDB7D" w14:textId="4385E5C3" w:rsidR="00154DD9" w:rsidRPr="00E33E20" w:rsidRDefault="00FB61E3" w:rsidP="009174FD">
      <w:pPr>
        <w:autoSpaceDE w:val="0"/>
        <w:autoSpaceDN w:val="0"/>
        <w:adjustRightInd w:val="0"/>
        <w:spacing w:after="0" w:line="240" w:lineRule="auto"/>
        <w:jc w:val="both"/>
        <w:rPr>
          <w:rFonts w:ascii="Arial" w:hAnsi="Arial" w:cs="Arial"/>
          <w:b/>
          <w:sz w:val="24"/>
          <w:szCs w:val="24"/>
          <w:lang w:val="en-US"/>
        </w:rPr>
      </w:pPr>
      <w:r w:rsidRPr="00E33E20">
        <w:rPr>
          <w:rFonts w:ascii="Arial" w:hAnsi="Arial" w:cs="Arial"/>
          <w:bCs/>
          <w:iCs/>
          <w:sz w:val="24"/>
          <w:szCs w:val="24"/>
          <w:lang w:val="en-US"/>
        </w:rPr>
        <w:t>L</w:t>
      </w:r>
      <w:r w:rsidR="00CF4872" w:rsidRPr="00E33E20">
        <w:rPr>
          <w:rFonts w:ascii="Arial" w:hAnsi="Arial" w:cs="Arial"/>
          <w:bCs/>
          <w:iCs/>
          <w:sz w:val="24"/>
          <w:szCs w:val="24"/>
          <w:lang w:val="en-US"/>
        </w:rPr>
        <w:t>abour</w:t>
      </w:r>
      <w:r w:rsidR="00887CD8" w:rsidRPr="00E33E20">
        <w:rPr>
          <w:rFonts w:ascii="Arial" w:hAnsi="Arial" w:cs="Arial"/>
          <w:bCs/>
          <w:iCs/>
          <w:sz w:val="24"/>
          <w:szCs w:val="24"/>
          <w:lang w:val="en-US"/>
        </w:rPr>
        <w:t xml:space="preserve"> inspectors, </w:t>
      </w:r>
      <w:r w:rsidR="00DD6AD1" w:rsidRPr="00E33E20">
        <w:rPr>
          <w:rFonts w:ascii="Arial" w:hAnsi="Arial" w:cs="Arial"/>
          <w:bCs/>
          <w:iCs/>
          <w:sz w:val="24"/>
          <w:szCs w:val="24"/>
          <w:lang w:val="en-US"/>
        </w:rPr>
        <w:t xml:space="preserve">labour dispute committees and courts do not </w:t>
      </w:r>
      <w:r w:rsidR="00F12532" w:rsidRPr="00E33E20">
        <w:rPr>
          <w:rFonts w:ascii="Arial" w:hAnsi="Arial" w:cs="Arial"/>
          <w:bCs/>
          <w:iCs/>
          <w:sz w:val="24"/>
          <w:szCs w:val="24"/>
          <w:lang w:val="en-US"/>
        </w:rPr>
        <w:t>gather statistics</w:t>
      </w:r>
      <w:r w:rsidR="00A002D3" w:rsidRPr="00E33E20">
        <w:rPr>
          <w:rFonts w:ascii="Arial" w:hAnsi="Arial" w:cs="Arial"/>
          <w:bCs/>
          <w:iCs/>
          <w:sz w:val="24"/>
          <w:szCs w:val="24"/>
          <w:lang w:val="en-US"/>
        </w:rPr>
        <w:t xml:space="preserve"> specifically</w:t>
      </w:r>
      <w:r w:rsidR="00F12532" w:rsidRPr="00E33E20">
        <w:rPr>
          <w:rFonts w:ascii="Arial" w:hAnsi="Arial" w:cs="Arial"/>
          <w:bCs/>
          <w:iCs/>
          <w:sz w:val="24"/>
          <w:szCs w:val="24"/>
          <w:lang w:val="en-US"/>
        </w:rPr>
        <w:t xml:space="preserve"> on </w:t>
      </w:r>
      <w:r w:rsidR="0001608B" w:rsidRPr="00E33E20">
        <w:rPr>
          <w:rFonts w:ascii="Arial" w:hAnsi="Arial" w:cs="Arial"/>
          <w:bCs/>
          <w:iCs/>
          <w:sz w:val="24"/>
          <w:szCs w:val="24"/>
          <w:lang w:val="en-US"/>
        </w:rPr>
        <w:t xml:space="preserve">disputes based on gender pay </w:t>
      </w:r>
      <w:proofErr w:type="gramStart"/>
      <w:r w:rsidR="0001608B" w:rsidRPr="00E33E20">
        <w:rPr>
          <w:rFonts w:ascii="Arial" w:hAnsi="Arial" w:cs="Arial"/>
          <w:bCs/>
          <w:iCs/>
          <w:sz w:val="24"/>
          <w:szCs w:val="24"/>
          <w:lang w:val="en-US"/>
        </w:rPr>
        <w:t>gap</w:t>
      </w:r>
      <w:proofErr w:type="gramEnd"/>
      <w:r w:rsidR="0001608B" w:rsidRPr="00E33E20">
        <w:rPr>
          <w:rFonts w:ascii="Arial" w:hAnsi="Arial" w:cs="Arial"/>
          <w:bCs/>
          <w:iCs/>
          <w:sz w:val="24"/>
          <w:szCs w:val="24"/>
          <w:lang w:val="en-US"/>
        </w:rPr>
        <w:t>.</w:t>
      </w:r>
      <w:r w:rsidR="000D00D0" w:rsidRPr="00E33E20">
        <w:rPr>
          <w:rFonts w:ascii="Arial" w:hAnsi="Arial" w:cs="Arial"/>
          <w:bCs/>
          <w:iCs/>
          <w:sz w:val="24"/>
          <w:szCs w:val="24"/>
          <w:lang w:val="en-US"/>
        </w:rPr>
        <w:t xml:space="preserve"> In 2024, </w:t>
      </w:r>
      <w:r w:rsidR="00154DD9" w:rsidRPr="00E33E20">
        <w:rPr>
          <w:rFonts w:ascii="Arial" w:hAnsi="Arial" w:cs="Arial"/>
          <w:bCs/>
          <w:iCs/>
          <w:sz w:val="24"/>
          <w:szCs w:val="24"/>
          <w:lang w:val="en-US"/>
        </w:rPr>
        <w:t xml:space="preserve">the </w:t>
      </w:r>
      <w:r w:rsidR="00154DD9" w:rsidRPr="00E33E20">
        <w:rPr>
          <w:rFonts w:ascii="Arial" w:hAnsi="Arial" w:cs="Arial"/>
          <w:bCs/>
          <w:sz w:val="24"/>
          <w:szCs w:val="24"/>
          <w:lang w:val="en-US"/>
        </w:rPr>
        <w:t>Gender Equality and Equal Treatment Commissioner</w:t>
      </w:r>
      <w:r w:rsidR="003634EC" w:rsidRPr="00E33E20">
        <w:rPr>
          <w:rFonts w:ascii="Arial" w:hAnsi="Arial" w:cs="Arial"/>
          <w:b/>
          <w:sz w:val="24"/>
          <w:szCs w:val="24"/>
          <w:lang w:val="en-US"/>
        </w:rPr>
        <w:t xml:space="preserve"> </w:t>
      </w:r>
      <w:r w:rsidR="00154DD9" w:rsidRPr="00E33E20">
        <w:rPr>
          <w:rFonts w:ascii="Arial" w:hAnsi="Arial" w:cs="Arial"/>
          <w:sz w:val="24"/>
          <w:szCs w:val="24"/>
          <w:lang w:val="en-US"/>
        </w:rPr>
        <w:t xml:space="preserve">received </w:t>
      </w:r>
      <w:r w:rsidR="003634EC" w:rsidRPr="00E33E20">
        <w:rPr>
          <w:rFonts w:ascii="Arial" w:hAnsi="Arial" w:cs="Arial"/>
          <w:sz w:val="24"/>
          <w:szCs w:val="24"/>
          <w:lang w:val="en-US"/>
        </w:rPr>
        <w:t xml:space="preserve">47 </w:t>
      </w:r>
      <w:r w:rsidR="00154DD9" w:rsidRPr="00E33E20">
        <w:rPr>
          <w:rFonts w:ascii="Arial" w:hAnsi="Arial" w:cs="Arial"/>
          <w:sz w:val="24"/>
          <w:szCs w:val="24"/>
          <w:lang w:val="en-US"/>
        </w:rPr>
        <w:t>enquiries related to gender</w:t>
      </w:r>
      <w:r w:rsidR="003634EC" w:rsidRPr="00E33E20">
        <w:rPr>
          <w:rFonts w:ascii="Arial" w:hAnsi="Arial" w:cs="Arial"/>
          <w:sz w:val="24"/>
          <w:szCs w:val="24"/>
          <w:lang w:val="en-US"/>
        </w:rPr>
        <w:t>.</w:t>
      </w:r>
    </w:p>
    <w:p w14:paraId="194F051E" w14:textId="77777777" w:rsidR="00197DB8" w:rsidRPr="00E33E20" w:rsidRDefault="00197DB8" w:rsidP="009174FD">
      <w:pPr>
        <w:spacing w:after="0" w:line="240" w:lineRule="auto"/>
        <w:jc w:val="both"/>
        <w:rPr>
          <w:rFonts w:ascii="Arial" w:hAnsi="Arial" w:cs="Arial"/>
          <w:bCs/>
          <w:iCs/>
          <w:sz w:val="24"/>
          <w:szCs w:val="24"/>
          <w:lang w:val="en-US"/>
        </w:rPr>
      </w:pPr>
    </w:p>
    <w:p w14:paraId="6E33B362" w14:textId="77777777" w:rsidR="009174FD" w:rsidRPr="00E33E20" w:rsidRDefault="009174FD" w:rsidP="009174FD">
      <w:pPr>
        <w:spacing w:after="0" w:line="240" w:lineRule="auto"/>
        <w:jc w:val="both"/>
        <w:rPr>
          <w:rFonts w:ascii="Arial" w:hAnsi="Arial" w:cs="Arial"/>
          <w:bCs/>
          <w:iCs/>
          <w:sz w:val="24"/>
          <w:szCs w:val="24"/>
          <w:lang w:val="en-US"/>
        </w:rPr>
      </w:pPr>
    </w:p>
    <w:p w14:paraId="41CE593B" w14:textId="77777777" w:rsidR="00323086" w:rsidRPr="00E33E20" w:rsidRDefault="00323086"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 xml:space="preserve">The following organizations have been sent </w:t>
      </w:r>
      <w:proofErr w:type="gramStart"/>
      <w:r w:rsidRPr="00E33E20">
        <w:rPr>
          <w:rFonts w:ascii="Arial" w:hAnsi="Arial" w:cs="Arial"/>
          <w:sz w:val="24"/>
          <w:szCs w:val="24"/>
          <w:lang w:val="en-US"/>
        </w:rPr>
        <w:t>its</w:t>
      </w:r>
      <w:proofErr w:type="gramEnd"/>
      <w:r w:rsidRPr="00E33E20">
        <w:rPr>
          <w:rFonts w:ascii="Arial" w:hAnsi="Arial" w:cs="Arial"/>
          <w:sz w:val="24"/>
          <w:szCs w:val="24"/>
          <w:lang w:val="en-US"/>
        </w:rPr>
        <w:t xml:space="preserve"> copies:</w:t>
      </w:r>
    </w:p>
    <w:p w14:paraId="24420779" w14:textId="77777777" w:rsidR="00323086" w:rsidRPr="00E33E20" w:rsidRDefault="00323086" w:rsidP="00241013">
      <w:pPr>
        <w:pStyle w:val="Loendilik"/>
        <w:numPr>
          <w:ilvl w:val="0"/>
          <w:numId w:val="3"/>
        </w:numPr>
        <w:autoSpaceDE w:val="0"/>
        <w:autoSpaceDN w:val="0"/>
        <w:adjustRightInd w:val="0"/>
        <w:spacing w:after="0" w:line="240" w:lineRule="auto"/>
        <w:jc w:val="both"/>
        <w:rPr>
          <w:rFonts w:cs="Arial"/>
          <w:sz w:val="24"/>
          <w:szCs w:val="24"/>
          <w:lang w:val="en-US"/>
        </w:rPr>
      </w:pPr>
      <w:r w:rsidRPr="00E33E20">
        <w:rPr>
          <w:rFonts w:cs="Arial"/>
          <w:sz w:val="24"/>
          <w:szCs w:val="24"/>
          <w:lang w:val="en-US"/>
        </w:rPr>
        <w:t>Estonian Employers’ Confederation</w:t>
      </w:r>
    </w:p>
    <w:p w14:paraId="2D0A18BC" w14:textId="082D7408" w:rsidR="003634EC" w:rsidRPr="00E33E20" w:rsidRDefault="00323086" w:rsidP="00241013">
      <w:pPr>
        <w:numPr>
          <w:ilvl w:val="0"/>
          <w:numId w:val="2"/>
        </w:numPr>
        <w:autoSpaceDE w:val="0"/>
        <w:autoSpaceDN w:val="0"/>
        <w:adjustRightInd w:val="0"/>
        <w:spacing w:after="0" w:line="240" w:lineRule="auto"/>
        <w:jc w:val="both"/>
        <w:rPr>
          <w:rFonts w:ascii="Arial" w:hAnsi="Arial" w:cs="Arial"/>
          <w:bCs/>
          <w:sz w:val="24"/>
          <w:szCs w:val="24"/>
          <w:lang w:val="en-US"/>
        </w:rPr>
      </w:pPr>
      <w:r w:rsidRPr="00E33E20">
        <w:rPr>
          <w:rFonts w:ascii="Arial" w:hAnsi="Arial" w:cs="Arial"/>
          <w:bCs/>
          <w:sz w:val="24"/>
          <w:szCs w:val="24"/>
          <w:lang w:val="en-US"/>
        </w:rPr>
        <w:t>Estonian Trade Union Confederation</w:t>
      </w:r>
    </w:p>
    <w:p w14:paraId="0BEB1F14" w14:textId="77777777" w:rsidR="00523A1B" w:rsidRPr="00E33E20" w:rsidRDefault="00523A1B" w:rsidP="009174FD">
      <w:pPr>
        <w:spacing w:after="0" w:line="240" w:lineRule="auto"/>
        <w:jc w:val="both"/>
        <w:rPr>
          <w:rFonts w:ascii="Arial" w:hAnsi="Arial" w:cs="Arial"/>
          <w:b/>
          <w:sz w:val="24"/>
          <w:szCs w:val="24"/>
          <w:lang w:val="en-US"/>
        </w:rPr>
      </w:pPr>
    </w:p>
    <w:p w14:paraId="06B9D69A" w14:textId="77777777" w:rsidR="009174FD" w:rsidRPr="00E33E20" w:rsidRDefault="009174FD">
      <w:pPr>
        <w:rPr>
          <w:rFonts w:ascii="Arial" w:hAnsi="Arial" w:cs="Arial"/>
          <w:b/>
          <w:sz w:val="24"/>
          <w:szCs w:val="24"/>
          <w:lang w:val="en-US"/>
        </w:rPr>
      </w:pPr>
      <w:r w:rsidRPr="00E33E20">
        <w:rPr>
          <w:rFonts w:ascii="Arial" w:hAnsi="Arial" w:cs="Arial"/>
          <w:b/>
          <w:sz w:val="24"/>
          <w:szCs w:val="24"/>
          <w:lang w:val="en-US"/>
        </w:rPr>
        <w:br w:type="page"/>
      </w:r>
    </w:p>
    <w:p w14:paraId="50715B7D" w14:textId="52C911B9" w:rsidR="00462561" w:rsidRPr="00E33E20" w:rsidRDefault="00462561" w:rsidP="009174FD">
      <w:pPr>
        <w:autoSpaceDE w:val="0"/>
        <w:autoSpaceDN w:val="0"/>
        <w:adjustRightInd w:val="0"/>
        <w:spacing w:after="0" w:line="240" w:lineRule="auto"/>
        <w:jc w:val="center"/>
        <w:rPr>
          <w:rFonts w:ascii="Arial" w:hAnsi="Arial" w:cs="Arial"/>
          <w:b/>
          <w:sz w:val="24"/>
          <w:szCs w:val="24"/>
          <w:lang w:val="en-US"/>
        </w:rPr>
      </w:pPr>
      <w:r w:rsidRPr="00E33E20">
        <w:rPr>
          <w:rFonts w:ascii="Arial" w:hAnsi="Arial" w:cs="Arial"/>
          <w:b/>
          <w:sz w:val="24"/>
          <w:szCs w:val="24"/>
          <w:lang w:val="en-US"/>
        </w:rPr>
        <w:t>R E P O R T, 20</w:t>
      </w:r>
      <w:r w:rsidR="00421A28" w:rsidRPr="00E33E20">
        <w:rPr>
          <w:rFonts w:ascii="Arial" w:hAnsi="Arial" w:cs="Arial"/>
          <w:b/>
          <w:sz w:val="24"/>
          <w:szCs w:val="24"/>
          <w:lang w:val="en-US"/>
        </w:rPr>
        <w:t>2</w:t>
      </w:r>
      <w:r w:rsidR="00FB61E3" w:rsidRPr="00E33E20">
        <w:rPr>
          <w:rFonts w:ascii="Arial" w:hAnsi="Arial" w:cs="Arial"/>
          <w:b/>
          <w:sz w:val="24"/>
          <w:szCs w:val="24"/>
          <w:lang w:val="en-US"/>
        </w:rPr>
        <w:t>5</w:t>
      </w:r>
    </w:p>
    <w:p w14:paraId="6580AA0A" w14:textId="77777777" w:rsidR="00462561" w:rsidRPr="00E33E20" w:rsidRDefault="00462561" w:rsidP="009174FD">
      <w:pPr>
        <w:autoSpaceDE w:val="0"/>
        <w:autoSpaceDN w:val="0"/>
        <w:adjustRightInd w:val="0"/>
        <w:spacing w:after="0" w:line="240" w:lineRule="auto"/>
        <w:jc w:val="both"/>
        <w:rPr>
          <w:rFonts w:ascii="Arial" w:hAnsi="Arial" w:cs="Arial"/>
          <w:sz w:val="24"/>
          <w:szCs w:val="24"/>
          <w:lang w:val="en-US"/>
        </w:rPr>
      </w:pPr>
    </w:p>
    <w:p w14:paraId="57A22679" w14:textId="77777777" w:rsidR="009174FD" w:rsidRPr="00E33E20" w:rsidRDefault="009174FD" w:rsidP="009174FD">
      <w:pPr>
        <w:autoSpaceDE w:val="0"/>
        <w:autoSpaceDN w:val="0"/>
        <w:adjustRightInd w:val="0"/>
        <w:spacing w:after="0" w:line="240" w:lineRule="auto"/>
        <w:jc w:val="both"/>
        <w:rPr>
          <w:rFonts w:ascii="Arial" w:hAnsi="Arial" w:cs="Arial"/>
          <w:sz w:val="24"/>
          <w:szCs w:val="24"/>
          <w:lang w:val="en-US"/>
        </w:rPr>
      </w:pPr>
    </w:p>
    <w:p w14:paraId="1408272A" w14:textId="69160429" w:rsidR="00462561" w:rsidRPr="00E33E20" w:rsidRDefault="00462561"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for the period</w:t>
      </w:r>
      <w:r w:rsidRPr="00E33E20">
        <w:rPr>
          <w:rFonts w:ascii="Arial" w:hAnsi="Arial" w:cs="Arial"/>
          <w:b/>
          <w:bCs/>
          <w:sz w:val="24"/>
          <w:szCs w:val="24"/>
          <w:lang w:val="en-US"/>
        </w:rPr>
        <w:t xml:space="preserve"> from</w:t>
      </w:r>
      <w:r w:rsidR="00345A36" w:rsidRPr="00E33E20">
        <w:rPr>
          <w:rFonts w:ascii="Arial" w:hAnsi="Arial" w:cs="Arial"/>
          <w:b/>
          <w:bCs/>
          <w:sz w:val="24"/>
          <w:szCs w:val="24"/>
          <w:lang w:val="en-US"/>
        </w:rPr>
        <w:t xml:space="preserve"> September </w:t>
      </w:r>
      <w:r w:rsidR="00BF27E2" w:rsidRPr="00E33E20">
        <w:rPr>
          <w:rFonts w:ascii="Arial" w:hAnsi="Arial" w:cs="Arial"/>
          <w:b/>
          <w:bCs/>
          <w:sz w:val="24"/>
          <w:szCs w:val="24"/>
          <w:lang w:val="en-US"/>
        </w:rPr>
        <w:t>20</w:t>
      </w:r>
      <w:r w:rsidR="00187756" w:rsidRPr="00E33E20">
        <w:rPr>
          <w:rFonts w:ascii="Arial" w:hAnsi="Arial" w:cs="Arial"/>
          <w:b/>
          <w:bCs/>
          <w:sz w:val="24"/>
          <w:szCs w:val="24"/>
          <w:lang w:val="en-US"/>
        </w:rPr>
        <w:t>22</w:t>
      </w:r>
      <w:r w:rsidRPr="00E33E20">
        <w:rPr>
          <w:rFonts w:ascii="Arial" w:hAnsi="Arial" w:cs="Arial"/>
          <w:sz w:val="24"/>
          <w:szCs w:val="24"/>
          <w:lang w:val="en-US"/>
        </w:rPr>
        <w:t xml:space="preserve"> </w:t>
      </w:r>
      <w:r w:rsidRPr="00E33E20">
        <w:rPr>
          <w:rFonts w:ascii="Arial" w:hAnsi="Arial" w:cs="Arial"/>
          <w:b/>
          <w:sz w:val="24"/>
          <w:szCs w:val="24"/>
          <w:lang w:val="en-US"/>
        </w:rPr>
        <w:t>to</w:t>
      </w:r>
      <w:r w:rsidR="00B57E21" w:rsidRPr="00E33E20">
        <w:rPr>
          <w:rFonts w:ascii="Arial" w:hAnsi="Arial" w:cs="Arial"/>
          <w:b/>
          <w:sz w:val="24"/>
          <w:szCs w:val="24"/>
          <w:lang w:val="en-US"/>
        </w:rPr>
        <w:t xml:space="preserve"> September</w:t>
      </w:r>
      <w:r w:rsidRPr="00E33E20">
        <w:rPr>
          <w:rFonts w:ascii="Arial" w:hAnsi="Arial" w:cs="Arial"/>
          <w:b/>
          <w:sz w:val="24"/>
          <w:szCs w:val="24"/>
          <w:lang w:val="en-US"/>
        </w:rPr>
        <w:t xml:space="preserve"> 20</w:t>
      </w:r>
      <w:r w:rsidR="00345A36" w:rsidRPr="00E33E20">
        <w:rPr>
          <w:rFonts w:ascii="Arial" w:hAnsi="Arial" w:cs="Arial"/>
          <w:b/>
          <w:sz w:val="24"/>
          <w:szCs w:val="24"/>
          <w:lang w:val="en-US"/>
        </w:rPr>
        <w:t>2</w:t>
      </w:r>
      <w:r w:rsidR="00187756" w:rsidRPr="00E33E20">
        <w:rPr>
          <w:rFonts w:ascii="Arial" w:hAnsi="Arial" w:cs="Arial"/>
          <w:b/>
          <w:sz w:val="24"/>
          <w:szCs w:val="24"/>
          <w:lang w:val="en-US"/>
        </w:rPr>
        <w:t>5</w:t>
      </w:r>
      <w:r w:rsidRPr="00E33E20">
        <w:rPr>
          <w:rFonts w:ascii="Arial" w:hAnsi="Arial" w:cs="Arial"/>
          <w:sz w:val="24"/>
          <w:szCs w:val="24"/>
          <w:lang w:val="en-US"/>
        </w:rPr>
        <w:t xml:space="preserve">, made by the </w:t>
      </w:r>
      <w:r w:rsidRPr="00E33E20">
        <w:rPr>
          <w:rFonts w:ascii="Arial" w:hAnsi="Arial" w:cs="Arial"/>
          <w:b/>
          <w:bCs/>
          <w:sz w:val="24"/>
          <w:szCs w:val="24"/>
          <w:lang w:val="en-US"/>
        </w:rPr>
        <w:t>Government of Estonia</w:t>
      </w:r>
      <w:r w:rsidRPr="00E33E20">
        <w:rPr>
          <w:rFonts w:ascii="Arial" w:hAnsi="Arial" w:cs="Arial"/>
          <w:sz w:val="24"/>
          <w:szCs w:val="24"/>
          <w:lang w:val="en-US"/>
        </w:rPr>
        <w:t xml:space="preserve">, in accordance with article 22 of the Constitution of the International Labour </w:t>
      </w:r>
      <w:proofErr w:type="spellStart"/>
      <w:r w:rsidRPr="00E33E20">
        <w:rPr>
          <w:rFonts w:ascii="Arial" w:hAnsi="Arial" w:cs="Arial"/>
          <w:sz w:val="24"/>
          <w:szCs w:val="24"/>
          <w:lang w:val="en-US"/>
        </w:rPr>
        <w:t>Organisation</w:t>
      </w:r>
      <w:proofErr w:type="spellEnd"/>
      <w:r w:rsidRPr="00E33E20">
        <w:rPr>
          <w:rFonts w:ascii="Arial" w:hAnsi="Arial" w:cs="Arial"/>
          <w:sz w:val="24"/>
          <w:szCs w:val="24"/>
          <w:lang w:val="en-US"/>
        </w:rPr>
        <w:t>, on the measures taken to give effect to the provisions of the</w:t>
      </w:r>
    </w:p>
    <w:p w14:paraId="4449E98D" w14:textId="77777777" w:rsidR="00A90780" w:rsidRPr="00E33E20" w:rsidRDefault="00A90780" w:rsidP="009174FD">
      <w:pPr>
        <w:autoSpaceDE w:val="0"/>
        <w:autoSpaceDN w:val="0"/>
        <w:adjustRightInd w:val="0"/>
        <w:spacing w:after="0" w:line="240" w:lineRule="auto"/>
        <w:jc w:val="both"/>
        <w:rPr>
          <w:rFonts w:ascii="Arial" w:hAnsi="Arial" w:cs="Arial"/>
          <w:b/>
          <w:bCs/>
          <w:sz w:val="24"/>
          <w:szCs w:val="24"/>
          <w:lang w:val="en-US"/>
        </w:rPr>
      </w:pPr>
    </w:p>
    <w:p w14:paraId="2D217A43" w14:textId="7CE9B2BC" w:rsidR="00DD061D" w:rsidRPr="00E33E20" w:rsidRDefault="00B83AB1" w:rsidP="009174FD">
      <w:pPr>
        <w:spacing w:after="0" w:line="240" w:lineRule="auto"/>
        <w:jc w:val="center"/>
        <w:rPr>
          <w:rFonts w:ascii="Arial" w:hAnsi="Arial" w:cs="Arial"/>
          <w:b/>
          <w:bCs/>
          <w:sz w:val="24"/>
          <w:szCs w:val="24"/>
          <w:lang w:val="en-US"/>
        </w:rPr>
      </w:pPr>
      <w:r w:rsidRPr="00E33E20">
        <w:rPr>
          <w:rFonts w:ascii="Arial" w:hAnsi="Arial" w:cs="Arial"/>
          <w:b/>
          <w:bCs/>
          <w:sz w:val="24"/>
          <w:szCs w:val="24"/>
          <w:lang w:val="en-US"/>
        </w:rPr>
        <w:t>Discrimination (Employment and Occupation) Convention, 1958 (No. 111)</w:t>
      </w:r>
    </w:p>
    <w:p w14:paraId="659AD589" w14:textId="77777777" w:rsidR="00BE1C3F" w:rsidRPr="00E33E20" w:rsidRDefault="00BE1C3F" w:rsidP="009174FD">
      <w:pPr>
        <w:spacing w:after="0" w:line="240" w:lineRule="auto"/>
        <w:jc w:val="both"/>
        <w:rPr>
          <w:rFonts w:ascii="Arial" w:hAnsi="Arial" w:cs="Arial"/>
          <w:b/>
          <w:bCs/>
          <w:sz w:val="24"/>
          <w:szCs w:val="24"/>
          <w:lang w:val="en-US"/>
        </w:rPr>
      </w:pPr>
    </w:p>
    <w:p w14:paraId="0D42C5E7" w14:textId="71A9A898" w:rsidR="003913C9" w:rsidRPr="00E33E20" w:rsidRDefault="00BE1C3F" w:rsidP="009174FD">
      <w:pPr>
        <w:spacing w:after="0" w:line="240" w:lineRule="auto"/>
        <w:jc w:val="both"/>
        <w:rPr>
          <w:rFonts w:ascii="Arial" w:hAnsi="Arial" w:cs="Arial"/>
          <w:bCs/>
          <w:sz w:val="24"/>
          <w:szCs w:val="24"/>
          <w:lang w:val="en-US"/>
        </w:rPr>
      </w:pPr>
      <w:r w:rsidRPr="00E33E20">
        <w:rPr>
          <w:rFonts w:ascii="Arial" w:hAnsi="Arial" w:cs="Arial"/>
          <w:bCs/>
          <w:sz w:val="24"/>
          <w:szCs w:val="24"/>
          <w:lang w:val="en-US"/>
        </w:rPr>
        <w:t>Th</w:t>
      </w:r>
      <w:r w:rsidR="005D7702" w:rsidRPr="00E33E20">
        <w:rPr>
          <w:rFonts w:ascii="Arial" w:eastAsia="Arial" w:hAnsi="Arial" w:cs="Arial"/>
          <w:sz w:val="24"/>
          <w:szCs w:val="24"/>
          <w:lang w:val="en-US"/>
        </w:rPr>
        <w:t>e</w:t>
      </w:r>
      <w:r w:rsidR="003913C9" w:rsidRPr="00E33E20">
        <w:rPr>
          <w:rFonts w:ascii="Arial" w:eastAsia="Arial" w:hAnsi="Arial" w:cs="Arial"/>
          <w:sz w:val="24"/>
          <w:szCs w:val="24"/>
          <w:lang w:val="en-US"/>
        </w:rPr>
        <w:t>re</w:t>
      </w:r>
      <w:r w:rsidR="005D7702" w:rsidRPr="00E33E20">
        <w:rPr>
          <w:rFonts w:ascii="Arial" w:eastAsia="Arial" w:hAnsi="Arial" w:cs="Arial"/>
          <w:sz w:val="24"/>
          <w:szCs w:val="24"/>
          <w:lang w:val="en-US"/>
        </w:rPr>
        <w:t xml:space="preserve"> are</w:t>
      </w:r>
      <w:r w:rsidR="003913C9" w:rsidRPr="00E33E20">
        <w:rPr>
          <w:rFonts w:ascii="Arial" w:eastAsia="Arial" w:hAnsi="Arial" w:cs="Arial"/>
          <w:sz w:val="24"/>
          <w:szCs w:val="24"/>
          <w:lang w:val="en-US"/>
        </w:rPr>
        <w:t xml:space="preserve"> no changes to the scope of application of the Equal Treatment Act compared to the previous report. Due to parliamentary elections in March 2023, upon the expiry of the mandate of the previous composition of the </w:t>
      </w:r>
      <w:r w:rsidR="009174FD" w:rsidRPr="00E33E20">
        <w:rPr>
          <w:rFonts w:ascii="Arial" w:eastAsia="Arial" w:hAnsi="Arial" w:cs="Arial"/>
          <w:sz w:val="24"/>
          <w:szCs w:val="24"/>
          <w:lang w:val="en-US"/>
        </w:rPr>
        <w:t>Parliament of Estonia</w:t>
      </w:r>
      <w:r w:rsidR="003913C9" w:rsidRPr="00E33E20">
        <w:rPr>
          <w:rFonts w:ascii="Arial" w:eastAsia="Arial" w:hAnsi="Arial" w:cs="Arial"/>
          <w:sz w:val="24"/>
          <w:szCs w:val="24"/>
          <w:lang w:val="en-US"/>
        </w:rPr>
        <w:t xml:space="preserve">, all bills on which the proceedings were not completed during the mandate of the </w:t>
      </w:r>
      <w:r w:rsidR="009174FD" w:rsidRPr="00E33E20">
        <w:rPr>
          <w:rFonts w:ascii="Arial" w:eastAsia="Arial" w:hAnsi="Arial" w:cs="Arial"/>
          <w:sz w:val="24"/>
          <w:szCs w:val="24"/>
          <w:lang w:val="en-US"/>
        </w:rPr>
        <w:t>parliament</w:t>
      </w:r>
      <w:r w:rsidR="003913C9" w:rsidRPr="00E33E20">
        <w:rPr>
          <w:rFonts w:ascii="Arial" w:eastAsia="Arial" w:hAnsi="Arial" w:cs="Arial"/>
          <w:sz w:val="24"/>
          <w:szCs w:val="24"/>
          <w:lang w:val="en-US"/>
        </w:rPr>
        <w:t xml:space="preserve"> were dropped from the proceedings. This included the draft bill amending the Equal Treatment Act as described in the previous report.</w:t>
      </w:r>
    </w:p>
    <w:p w14:paraId="55AEE218" w14:textId="77777777" w:rsidR="003913C9" w:rsidRPr="00E33E20" w:rsidRDefault="003913C9" w:rsidP="009174FD">
      <w:pPr>
        <w:widowControl w:val="0"/>
        <w:autoSpaceDE w:val="0"/>
        <w:autoSpaceDN w:val="0"/>
        <w:spacing w:after="0" w:line="240" w:lineRule="auto"/>
        <w:jc w:val="both"/>
        <w:rPr>
          <w:rFonts w:ascii="Arial" w:eastAsia="Arial" w:hAnsi="Arial" w:cs="Arial"/>
          <w:sz w:val="24"/>
          <w:szCs w:val="24"/>
          <w:lang w:val="en-US"/>
        </w:rPr>
      </w:pPr>
      <w:r w:rsidRPr="00E33E20">
        <w:rPr>
          <w:rFonts w:ascii="Arial" w:eastAsia="Arial" w:hAnsi="Arial" w:cs="Arial"/>
          <w:sz w:val="24"/>
          <w:szCs w:val="24"/>
          <w:lang w:val="en-US"/>
        </w:rPr>
        <w:t xml:space="preserve"> </w:t>
      </w:r>
    </w:p>
    <w:p w14:paraId="1C50C617" w14:textId="77777777" w:rsidR="009174FD" w:rsidRPr="00E33E20" w:rsidRDefault="003913C9" w:rsidP="009174FD">
      <w:pPr>
        <w:widowControl w:val="0"/>
        <w:autoSpaceDE w:val="0"/>
        <w:autoSpaceDN w:val="0"/>
        <w:spacing w:after="0" w:line="240" w:lineRule="auto"/>
        <w:jc w:val="both"/>
        <w:rPr>
          <w:rFonts w:ascii="Arial" w:eastAsia="Arial" w:hAnsi="Arial" w:cs="Arial"/>
          <w:sz w:val="24"/>
          <w:szCs w:val="24"/>
          <w:lang w:val="en-US"/>
        </w:rPr>
      </w:pPr>
      <w:r w:rsidRPr="00E33E20">
        <w:rPr>
          <w:rFonts w:ascii="Arial" w:eastAsia="Arial" w:hAnsi="Arial" w:cs="Arial"/>
          <w:sz w:val="24"/>
          <w:szCs w:val="24"/>
          <w:lang w:val="en-US"/>
        </w:rPr>
        <w:t xml:space="preserve">In 2023, the responsibility for co-ordination of equal treatment policy, including proposing relevant legislation, was transferred from the Ministry of Social Affairs to the Ministry of Economic Affairs and Communications. </w:t>
      </w:r>
    </w:p>
    <w:p w14:paraId="6E553636" w14:textId="77777777" w:rsidR="009174FD" w:rsidRPr="00E33E20" w:rsidRDefault="009174FD" w:rsidP="009174FD">
      <w:pPr>
        <w:widowControl w:val="0"/>
        <w:autoSpaceDE w:val="0"/>
        <w:autoSpaceDN w:val="0"/>
        <w:spacing w:after="0" w:line="240" w:lineRule="auto"/>
        <w:jc w:val="both"/>
        <w:rPr>
          <w:rFonts w:ascii="Arial" w:eastAsia="Arial" w:hAnsi="Arial" w:cs="Arial"/>
          <w:sz w:val="24"/>
          <w:szCs w:val="24"/>
          <w:lang w:val="en-US"/>
        </w:rPr>
      </w:pPr>
    </w:p>
    <w:p w14:paraId="31248EE2" w14:textId="36453713" w:rsidR="003913C9" w:rsidRPr="00E33E20" w:rsidRDefault="003913C9" w:rsidP="009174FD">
      <w:pPr>
        <w:widowControl w:val="0"/>
        <w:autoSpaceDE w:val="0"/>
        <w:autoSpaceDN w:val="0"/>
        <w:spacing w:after="0" w:line="240" w:lineRule="auto"/>
        <w:jc w:val="both"/>
        <w:rPr>
          <w:rFonts w:ascii="Arial" w:eastAsia="Arial" w:hAnsi="Arial" w:cs="Arial"/>
          <w:sz w:val="24"/>
          <w:szCs w:val="24"/>
          <w:lang w:val="en-US"/>
        </w:rPr>
      </w:pPr>
      <w:r w:rsidRPr="00E33E20">
        <w:rPr>
          <w:rFonts w:ascii="Arial" w:eastAsia="Arial" w:hAnsi="Arial" w:cs="Arial"/>
          <w:sz w:val="24"/>
          <w:szCs w:val="24"/>
          <w:lang w:val="en-US"/>
        </w:rPr>
        <w:t xml:space="preserve">In 2024, the Ministry of Economic Affairs and Communications prepared and sent for public consultation a draft law proposing merging the Gender Equality Act and the Equal Treatment Act (ETA). The draft included plans to widen the specific protection provided under the ETA </w:t>
      </w:r>
      <w:proofErr w:type="gramStart"/>
      <w:r w:rsidRPr="00E33E20">
        <w:rPr>
          <w:rFonts w:ascii="Arial" w:eastAsia="Arial" w:hAnsi="Arial" w:cs="Arial"/>
          <w:sz w:val="24"/>
          <w:szCs w:val="24"/>
          <w:lang w:val="en-US"/>
        </w:rPr>
        <w:t>to</w:t>
      </w:r>
      <w:proofErr w:type="gramEnd"/>
      <w:r w:rsidRPr="00E33E20">
        <w:rPr>
          <w:rFonts w:ascii="Arial" w:eastAsia="Arial" w:hAnsi="Arial" w:cs="Arial"/>
          <w:sz w:val="24"/>
          <w:szCs w:val="24"/>
          <w:lang w:val="en-US"/>
        </w:rPr>
        <w:t xml:space="preserve"> additional grounds, including e.g., origin and social status but also leaving the list of grounds open. It also aimed to widen the scope of protection for all grounds to all areas of public life. Due to </w:t>
      </w:r>
      <w:r w:rsidR="009174FD" w:rsidRPr="00E33E20">
        <w:rPr>
          <w:rFonts w:ascii="Arial" w:eastAsia="Arial" w:hAnsi="Arial" w:cs="Arial"/>
          <w:sz w:val="24"/>
          <w:szCs w:val="24"/>
          <w:lang w:val="en-US"/>
        </w:rPr>
        <w:t>the change</w:t>
      </w:r>
      <w:r w:rsidRPr="00E33E20">
        <w:rPr>
          <w:rFonts w:ascii="Arial" w:eastAsia="Arial" w:hAnsi="Arial" w:cs="Arial"/>
          <w:sz w:val="24"/>
          <w:szCs w:val="24"/>
          <w:lang w:val="en-US"/>
        </w:rPr>
        <w:t xml:space="preserve"> of government and responsible minister in July 2024, the processing of the draft law stopped. </w:t>
      </w:r>
    </w:p>
    <w:p w14:paraId="39A5AD15" w14:textId="77777777" w:rsidR="00BA70C0" w:rsidRPr="00E33E20" w:rsidRDefault="00BA70C0" w:rsidP="009174FD">
      <w:pPr>
        <w:widowControl w:val="0"/>
        <w:autoSpaceDE w:val="0"/>
        <w:autoSpaceDN w:val="0"/>
        <w:spacing w:after="0" w:line="240" w:lineRule="auto"/>
        <w:jc w:val="both"/>
        <w:rPr>
          <w:rFonts w:ascii="Arial" w:eastAsia="Arial" w:hAnsi="Arial" w:cs="Arial"/>
          <w:sz w:val="24"/>
          <w:szCs w:val="24"/>
          <w:lang w:val="en-US"/>
        </w:rPr>
      </w:pPr>
    </w:p>
    <w:p w14:paraId="7409C29F" w14:textId="677EA90C" w:rsidR="00BA70C0" w:rsidRPr="00E33E20" w:rsidRDefault="00BA70C0" w:rsidP="009174FD">
      <w:pPr>
        <w:spacing w:after="0" w:line="240" w:lineRule="auto"/>
        <w:jc w:val="both"/>
        <w:rPr>
          <w:rFonts w:ascii="Arial" w:hAnsi="Arial" w:cs="Arial"/>
          <w:bCs/>
          <w:sz w:val="24"/>
          <w:szCs w:val="24"/>
          <w:u w:val="single"/>
          <w:lang w:val="en-US"/>
        </w:rPr>
      </w:pPr>
      <w:proofErr w:type="gramStart"/>
      <w:r w:rsidRPr="00E33E20">
        <w:rPr>
          <w:rFonts w:ascii="Arial" w:hAnsi="Arial" w:cs="Arial"/>
          <w:bCs/>
          <w:sz w:val="24"/>
          <w:szCs w:val="24"/>
          <w:u w:val="single"/>
          <w:lang w:val="en-US"/>
        </w:rPr>
        <w:t>Taking into account</w:t>
      </w:r>
      <w:proofErr w:type="gramEnd"/>
      <w:r w:rsidRPr="00E33E20">
        <w:rPr>
          <w:rFonts w:ascii="Arial" w:hAnsi="Arial" w:cs="Arial"/>
          <w:bCs/>
          <w:sz w:val="24"/>
          <w:szCs w:val="24"/>
          <w:u w:val="single"/>
          <w:lang w:val="en-US"/>
        </w:rPr>
        <w:t xml:space="preserve"> the relevant comments of the CEACR, we would like to give the following information:</w:t>
      </w:r>
    </w:p>
    <w:p w14:paraId="628A379C" w14:textId="77777777" w:rsidR="003913C9" w:rsidRPr="00E33E20" w:rsidRDefault="003913C9" w:rsidP="009174FD">
      <w:pPr>
        <w:widowControl w:val="0"/>
        <w:autoSpaceDE w:val="0"/>
        <w:autoSpaceDN w:val="0"/>
        <w:spacing w:after="0" w:line="240" w:lineRule="auto"/>
        <w:jc w:val="both"/>
        <w:rPr>
          <w:rFonts w:ascii="Arial" w:eastAsia="Arial" w:hAnsi="Arial" w:cs="Arial"/>
          <w:sz w:val="24"/>
          <w:szCs w:val="24"/>
          <w:lang w:val="en-US"/>
        </w:rPr>
      </w:pPr>
      <w:r w:rsidRPr="00E33E20">
        <w:rPr>
          <w:rFonts w:ascii="Arial" w:eastAsia="Arial" w:hAnsi="Arial" w:cs="Arial"/>
          <w:sz w:val="24"/>
          <w:szCs w:val="24"/>
          <w:lang w:val="en-US"/>
        </w:rPr>
        <w:t xml:space="preserve"> </w:t>
      </w:r>
    </w:p>
    <w:p w14:paraId="37D658FB" w14:textId="77777777" w:rsidR="00A33240" w:rsidRPr="00E33E20" w:rsidRDefault="003913C9" w:rsidP="009174FD">
      <w:pPr>
        <w:widowControl w:val="0"/>
        <w:autoSpaceDE w:val="0"/>
        <w:autoSpaceDN w:val="0"/>
        <w:spacing w:after="0" w:line="240" w:lineRule="auto"/>
        <w:jc w:val="both"/>
        <w:rPr>
          <w:rFonts w:ascii="Arial" w:eastAsia="Arial" w:hAnsi="Arial" w:cs="Arial"/>
          <w:sz w:val="24"/>
          <w:szCs w:val="24"/>
          <w:lang w:val="en-US"/>
        </w:rPr>
      </w:pPr>
      <w:r w:rsidRPr="00E33E20">
        <w:rPr>
          <w:rFonts w:ascii="Arial" w:eastAsia="Arial" w:hAnsi="Arial" w:cs="Arial"/>
          <w:sz w:val="24"/>
          <w:szCs w:val="24"/>
          <w:lang w:val="en-US"/>
        </w:rPr>
        <w:t xml:space="preserve">Concerning the observation of the Committee from 2023, we would like to point out that according to Estonian Constitution, everyone is equal before the law. No one shall be discriminated against </w:t>
      </w:r>
      <w:proofErr w:type="gramStart"/>
      <w:r w:rsidRPr="00E33E20">
        <w:rPr>
          <w:rFonts w:ascii="Arial" w:eastAsia="Arial" w:hAnsi="Arial" w:cs="Arial"/>
          <w:sz w:val="24"/>
          <w:szCs w:val="24"/>
          <w:lang w:val="en-US"/>
        </w:rPr>
        <w:t>on the basis of</w:t>
      </w:r>
      <w:proofErr w:type="gramEnd"/>
      <w:r w:rsidRPr="00E33E20">
        <w:rPr>
          <w:rFonts w:ascii="Arial" w:eastAsia="Arial" w:hAnsi="Arial" w:cs="Arial"/>
          <w:sz w:val="24"/>
          <w:szCs w:val="24"/>
          <w:lang w:val="en-US"/>
        </w:rPr>
        <w:t xml:space="preserve"> nationality, race, </w:t>
      </w:r>
      <w:proofErr w:type="spellStart"/>
      <w:r w:rsidRPr="00E33E20">
        <w:rPr>
          <w:rFonts w:ascii="Arial" w:eastAsia="Arial" w:hAnsi="Arial" w:cs="Arial"/>
          <w:sz w:val="24"/>
          <w:szCs w:val="24"/>
          <w:lang w:val="en-US"/>
        </w:rPr>
        <w:t>colour</w:t>
      </w:r>
      <w:proofErr w:type="spellEnd"/>
      <w:r w:rsidRPr="00E33E20">
        <w:rPr>
          <w:rFonts w:ascii="Arial" w:eastAsia="Arial" w:hAnsi="Arial" w:cs="Arial"/>
          <w:sz w:val="24"/>
          <w:szCs w:val="24"/>
          <w:lang w:val="en-US"/>
        </w:rPr>
        <w:t>, sex, language, origin, religion, political or other beliefs, property or social status, or on other grounds. The Constitution also prohibits the incitement of national, racial, religious or political hatred, violence or discrimination and the incitement of hatred, violence or discrimination between social strata</w:t>
      </w:r>
      <w:r w:rsidR="00B6688B" w:rsidRPr="00E33E20">
        <w:rPr>
          <w:rFonts w:ascii="Arial" w:eastAsia="Arial" w:hAnsi="Arial" w:cs="Arial"/>
          <w:sz w:val="24"/>
          <w:szCs w:val="24"/>
          <w:lang w:val="en-US"/>
        </w:rPr>
        <w:t>.</w:t>
      </w:r>
    </w:p>
    <w:p w14:paraId="6B844EC2" w14:textId="71612BB3" w:rsidR="003913C9" w:rsidRPr="00E33E20" w:rsidRDefault="003913C9" w:rsidP="009174FD">
      <w:pPr>
        <w:widowControl w:val="0"/>
        <w:autoSpaceDE w:val="0"/>
        <w:autoSpaceDN w:val="0"/>
        <w:spacing w:after="0" w:line="240" w:lineRule="auto"/>
        <w:jc w:val="both"/>
        <w:rPr>
          <w:rFonts w:ascii="Arial" w:eastAsia="Arial" w:hAnsi="Arial" w:cs="Arial"/>
          <w:sz w:val="24"/>
          <w:szCs w:val="24"/>
          <w:lang w:val="en-US"/>
        </w:rPr>
      </w:pPr>
      <w:r w:rsidRPr="00E33E20">
        <w:rPr>
          <w:rFonts w:ascii="Arial" w:eastAsia="Arial" w:hAnsi="Arial" w:cs="Arial"/>
          <w:sz w:val="24"/>
          <w:szCs w:val="24"/>
          <w:lang w:val="en-US"/>
        </w:rPr>
        <w:t xml:space="preserve"> </w:t>
      </w:r>
    </w:p>
    <w:p w14:paraId="640AF1E4" w14:textId="185EB430" w:rsidR="002233B2" w:rsidRPr="00E33E20" w:rsidRDefault="00A33240" w:rsidP="009174FD">
      <w:pPr>
        <w:widowControl w:val="0"/>
        <w:autoSpaceDE w:val="0"/>
        <w:autoSpaceDN w:val="0"/>
        <w:spacing w:after="0" w:line="240" w:lineRule="auto"/>
        <w:jc w:val="both"/>
        <w:rPr>
          <w:rFonts w:ascii="Arial" w:eastAsia="Arial" w:hAnsi="Arial" w:cs="Arial"/>
          <w:sz w:val="24"/>
          <w:szCs w:val="24"/>
          <w:lang w:val="en-US"/>
        </w:rPr>
      </w:pPr>
      <w:r w:rsidRPr="00E33E20">
        <w:rPr>
          <w:rFonts w:ascii="Arial" w:eastAsia="Arial" w:hAnsi="Arial" w:cs="Arial"/>
          <w:sz w:val="24"/>
          <w:szCs w:val="24"/>
          <w:lang w:val="en-US"/>
        </w:rPr>
        <w:t>More</w:t>
      </w:r>
      <w:r w:rsidR="003913C9" w:rsidRPr="00E33E20">
        <w:rPr>
          <w:rFonts w:ascii="Arial" w:eastAsia="Arial" w:hAnsi="Arial" w:cs="Arial"/>
          <w:sz w:val="24"/>
          <w:szCs w:val="24"/>
          <w:lang w:val="en-US"/>
        </w:rPr>
        <w:t>, concerning the ground of political opinion, we would like to point out that the concept of “other beliefs” in the ETA includes also those of political nature, thus covering the political opinions.</w:t>
      </w:r>
    </w:p>
    <w:p w14:paraId="5FE25531" w14:textId="77777777" w:rsidR="00C75DCA" w:rsidRPr="00E33E20" w:rsidRDefault="00C75DCA" w:rsidP="009174FD">
      <w:pPr>
        <w:autoSpaceDE w:val="0"/>
        <w:autoSpaceDN w:val="0"/>
        <w:adjustRightInd w:val="0"/>
        <w:spacing w:after="0" w:line="240" w:lineRule="auto"/>
        <w:jc w:val="both"/>
        <w:rPr>
          <w:rFonts w:ascii="Arial" w:hAnsi="Arial" w:cs="Arial"/>
          <w:b/>
          <w:sz w:val="24"/>
          <w:szCs w:val="24"/>
          <w:lang w:val="en-US"/>
        </w:rPr>
      </w:pPr>
    </w:p>
    <w:p w14:paraId="6ADD5F2A" w14:textId="7D0F513F" w:rsidR="002233B2" w:rsidRPr="00E33E20" w:rsidRDefault="00783420" w:rsidP="009174FD">
      <w:pPr>
        <w:autoSpaceDE w:val="0"/>
        <w:autoSpaceDN w:val="0"/>
        <w:adjustRightInd w:val="0"/>
        <w:spacing w:after="0" w:line="240" w:lineRule="auto"/>
        <w:jc w:val="both"/>
        <w:rPr>
          <w:rFonts w:ascii="Arial" w:hAnsi="Arial" w:cs="Arial"/>
          <w:b/>
          <w:sz w:val="24"/>
          <w:szCs w:val="24"/>
          <w:lang w:val="en-US"/>
        </w:rPr>
      </w:pPr>
      <w:r w:rsidRPr="00E33E20">
        <w:rPr>
          <w:rFonts w:ascii="Arial" w:hAnsi="Arial" w:cs="Arial"/>
          <w:b/>
          <w:sz w:val="24"/>
          <w:szCs w:val="24"/>
          <w:lang w:val="en-US"/>
        </w:rPr>
        <w:t>Policy measures</w:t>
      </w:r>
      <w:r w:rsidR="003A0043" w:rsidRPr="00E33E20">
        <w:rPr>
          <w:rFonts w:ascii="Arial" w:hAnsi="Arial" w:cs="Arial"/>
          <w:b/>
          <w:sz w:val="24"/>
          <w:szCs w:val="24"/>
          <w:lang w:val="en-US"/>
        </w:rPr>
        <w:t xml:space="preserve"> </w:t>
      </w:r>
    </w:p>
    <w:p w14:paraId="22C27827" w14:textId="77777777" w:rsidR="001D6A3A" w:rsidRPr="00E33E20" w:rsidRDefault="001D6A3A" w:rsidP="009174FD">
      <w:pPr>
        <w:autoSpaceDE w:val="0"/>
        <w:autoSpaceDN w:val="0"/>
        <w:adjustRightInd w:val="0"/>
        <w:spacing w:after="0" w:line="240" w:lineRule="auto"/>
        <w:jc w:val="both"/>
        <w:rPr>
          <w:rFonts w:ascii="Arial" w:hAnsi="Arial" w:cs="Arial"/>
          <w:b/>
          <w:sz w:val="24"/>
          <w:szCs w:val="24"/>
          <w:lang w:val="en-US"/>
        </w:rPr>
      </w:pPr>
    </w:p>
    <w:p w14:paraId="5E657154" w14:textId="77777777" w:rsidR="00A23061" w:rsidRPr="00E33E20" w:rsidRDefault="00A23061" w:rsidP="009174FD">
      <w:pPr>
        <w:widowControl w:val="0"/>
        <w:autoSpaceDE w:val="0"/>
        <w:autoSpaceDN w:val="0"/>
        <w:spacing w:after="0" w:line="240" w:lineRule="auto"/>
        <w:jc w:val="both"/>
        <w:rPr>
          <w:rFonts w:ascii="Arial" w:eastAsia="Arial" w:hAnsi="Arial" w:cs="Arial"/>
          <w:sz w:val="24"/>
          <w:szCs w:val="24"/>
          <w:lang w:val="en-US"/>
        </w:rPr>
      </w:pPr>
      <w:r w:rsidRPr="00E33E20">
        <w:rPr>
          <w:rFonts w:ascii="Arial" w:eastAsia="Arial" w:hAnsi="Arial" w:cs="Arial"/>
          <w:sz w:val="24"/>
          <w:szCs w:val="24"/>
          <w:lang w:val="en-US"/>
        </w:rPr>
        <w:t>The Welfare Development Plan 2023-2030 (</w:t>
      </w:r>
      <w:r w:rsidRPr="00E33E20">
        <w:rPr>
          <w:rFonts w:ascii="Arial" w:eastAsia="Arial" w:hAnsi="Arial" w:cs="Arial"/>
          <w:i/>
          <w:iCs/>
          <w:sz w:val="24"/>
          <w:szCs w:val="24"/>
          <w:lang w:val="en-US"/>
        </w:rPr>
        <w:t>WDP</w:t>
      </w:r>
      <w:r w:rsidRPr="00E33E20">
        <w:rPr>
          <w:rFonts w:ascii="Arial" w:eastAsia="Arial" w:hAnsi="Arial" w:cs="Arial"/>
          <w:sz w:val="24"/>
          <w:szCs w:val="24"/>
          <w:lang w:val="en-US"/>
        </w:rPr>
        <w:t xml:space="preserve">) is a comprehensive strategy that, among other things, sets out clear objectives and measures to promote gender equality and equal opportunities. It outlines the main challenges and opportunities as well as courses of action for advancing gender equality and equal opportunities for minorities and people with special needs. The WDP plan is implemented through four-year rolling </w:t>
      </w:r>
      <w:proofErr w:type="spellStart"/>
      <w:r w:rsidRPr="00E33E20">
        <w:rPr>
          <w:rFonts w:ascii="Arial" w:eastAsia="Arial" w:hAnsi="Arial" w:cs="Arial"/>
          <w:sz w:val="24"/>
          <w:szCs w:val="24"/>
          <w:lang w:val="en-US"/>
        </w:rPr>
        <w:t>programmes</w:t>
      </w:r>
      <w:proofErr w:type="spellEnd"/>
      <w:r w:rsidRPr="00E33E20">
        <w:rPr>
          <w:rFonts w:ascii="Arial" w:eastAsia="Arial" w:hAnsi="Arial" w:cs="Arial"/>
          <w:sz w:val="24"/>
          <w:szCs w:val="24"/>
          <w:lang w:val="en-US"/>
        </w:rPr>
        <w:t xml:space="preserve"> to ensure effective implementation and monitoring. Progress on the development plan's implementation is reported annually as part of the national budget performance reporting process. </w:t>
      </w:r>
    </w:p>
    <w:p w14:paraId="40D9CFA7" w14:textId="77777777" w:rsidR="009174FD" w:rsidRPr="00E33E20" w:rsidRDefault="009174FD" w:rsidP="009174FD">
      <w:pPr>
        <w:widowControl w:val="0"/>
        <w:autoSpaceDE w:val="0"/>
        <w:autoSpaceDN w:val="0"/>
        <w:spacing w:after="0" w:line="240" w:lineRule="auto"/>
        <w:jc w:val="both"/>
        <w:rPr>
          <w:rFonts w:ascii="Arial" w:eastAsia="Arial" w:hAnsi="Arial" w:cs="Arial"/>
          <w:sz w:val="24"/>
          <w:szCs w:val="24"/>
          <w:lang w:val="en-US"/>
        </w:rPr>
      </w:pPr>
    </w:p>
    <w:p w14:paraId="74B98D29" w14:textId="77777777" w:rsidR="00A23061" w:rsidRPr="00E33E20" w:rsidRDefault="00A23061" w:rsidP="009174FD">
      <w:pPr>
        <w:widowControl w:val="0"/>
        <w:autoSpaceDE w:val="0"/>
        <w:autoSpaceDN w:val="0"/>
        <w:spacing w:after="0" w:line="240" w:lineRule="auto"/>
        <w:jc w:val="both"/>
        <w:rPr>
          <w:rFonts w:ascii="Arial" w:eastAsia="Arial" w:hAnsi="Arial" w:cs="Arial"/>
          <w:sz w:val="24"/>
          <w:szCs w:val="24"/>
          <w:lang w:val="en-US"/>
        </w:rPr>
      </w:pPr>
      <w:r w:rsidRPr="00E33E20">
        <w:rPr>
          <w:rFonts w:ascii="Arial" w:eastAsia="Arial" w:hAnsi="Arial" w:cs="Arial"/>
          <w:sz w:val="24"/>
          <w:szCs w:val="24"/>
          <w:lang w:val="en-US"/>
        </w:rPr>
        <w:t>Activities that are being carried out to implement the WDP also include those aimed at raising employers’ awareness on promoting diversity in public and private sector organizations. For this purpose, the government continued to (also financially) support celebrating the Diversity Day (and Month) in May each year, the work of the network of employers committed to the Estonian Diversity Charter (</w:t>
      </w:r>
      <w:hyperlink r:id="rId16">
        <w:r w:rsidRPr="00E33E20">
          <w:rPr>
            <w:rFonts w:ascii="Arial" w:eastAsia="Arial" w:hAnsi="Arial" w:cs="Arial"/>
            <w:sz w:val="24"/>
            <w:szCs w:val="24"/>
            <w:u w:val="single"/>
            <w:lang w:val="en-US"/>
          </w:rPr>
          <w:t>https://humanrights.ee/en/topics-main/diversity-and-inclusion/charter/</w:t>
        </w:r>
      </w:hyperlink>
      <w:r w:rsidRPr="00E33E20">
        <w:rPr>
          <w:rFonts w:ascii="Arial" w:eastAsia="Arial" w:hAnsi="Arial" w:cs="Arial"/>
          <w:sz w:val="24"/>
          <w:szCs w:val="24"/>
          <w:lang w:val="en-US"/>
        </w:rPr>
        <w:t>), and the administering of the Diverse Workplace Label (</w:t>
      </w:r>
      <w:hyperlink r:id="rId17">
        <w:r w:rsidRPr="00E33E20">
          <w:rPr>
            <w:rFonts w:ascii="Arial" w:eastAsia="Arial" w:hAnsi="Arial" w:cs="Arial"/>
            <w:sz w:val="24"/>
            <w:szCs w:val="24"/>
            <w:u w:val="single"/>
            <w:lang w:val="en-US"/>
          </w:rPr>
          <w:t>https://humanrights.ee/en/topics-main/diversity-and-inclusion/mitmekesise-tookoha-margis/</w:t>
        </w:r>
      </w:hyperlink>
      <w:r w:rsidRPr="00E33E20">
        <w:rPr>
          <w:rFonts w:ascii="Arial" w:eastAsia="Arial" w:hAnsi="Arial" w:cs="Arial"/>
          <w:sz w:val="24"/>
          <w:szCs w:val="24"/>
          <w:lang w:val="en-US"/>
        </w:rPr>
        <w:t xml:space="preserve">). All three activities have been carried out and/or </w:t>
      </w:r>
      <w:proofErr w:type="spellStart"/>
      <w:r w:rsidRPr="00E33E20">
        <w:rPr>
          <w:rFonts w:ascii="Arial" w:eastAsia="Arial" w:hAnsi="Arial" w:cs="Arial"/>
          <w:sz w:val="24"/>
          <w:szCs w:val="24"/>
          <w:lang w:val="en-US"/>
        </w:rPr>
        <w:t>co-ordinated</w:t>
      </w:r>
      <w:proofErr w:type="spellEnd"/>
      <w:r w:rsidRPr="00E33E20">
        <w:rPr>
          <w:rFonts w:ascii="Arial" w:eastAsia="Arial" w:hAnsi="Arial" w:cs="Arial"/>
          <w:sz w:val="24"/>
          <w:szCs w:val="24"/>
          <w:lang w:val="en-US"/>
        </w:rPr>
        <w:t xml:space="preserve"> by the Estonian Human Rights Centre. By May 2025, 229 public, private and non-governmental </w:t>
      </w:r>
      <w:proofErr w:type="spellStart"/>
      <w:r w:rsidRPr="00E33E20">
        <w:rPr>
          <w:rFonts w:ascii="Arial" w:eastAsia="Arial" w:hAnsi="Arial" w:cs="Arial"/>
          <w:sz w:val="24"/>
          <w:szCs w:val="24"/>
          <w:lang w:val="en-US"/>
        </w:rPr>
        <w:t>organisations</w:t>
      </w:r>
      <w:proofErr w:type="spellEnd"/>
      <w:r w:rsidRPr="00E33E20">
        <w:rPr>
          <w:rFonts w:ascii="Arial" w:eastAsia="Arial" w:hAnsi="Arial" w:cs="Arial"/>
          <w:sz w:val="24"/>
          <w:szCs w:val="24"/>
          <w:lang w:val="en-US"/>
        </w:rPr>
        <w:t xml:space="preserve"> were committed to implementing the Estonian Diversity Charter. As of 2024, the Diverse Workplace Label has been awarded (for two years) to 60 </w:t>
      </w:r>
      <w:proofErr w:type="spellStart"/>
      <w:r w:rsidRPr="00E33E20">
        <w:rPr>
          <w:rFonts w:ascii="Arial" w:eastAsia="Arial" w:hAnsi="Arial" w:cs="Arial"/>
          <w:sz w:val="24"/>
          <w:szCs w:val="24"/>
          <w:lang w:val="en-US"/>
        </w:rPr>
        <w:t>organisations</w:t>
      </w:r>
      <w:proofErr w:type="spellEnd"/>
      <w:r w:rsidRPr="00E33E20">
        <w:rPr>
          <w:rFonts w:ascii="Arial" w:eastAsia="Arial" w:hAnsi="Arial" w:cs="Arial"/>
          <w:sz w:val="24"/>
          <w:szCs w:val="24"/>
          <w:lang w:val="en-US"/>
        </w:rPr>
        <w:t xml:space="preserve">. </w:t>
      </w:r>
    </w:p>
    <w:p w14:paraId="3E4FF28D" w14:textId="77777777" w:rsidR="009174FD" w:rsidRPr="00E33E20" w:rsidRDefault="009174FD" w:rsidP="009174FD">
      <w:pPr>
        <w:widowControl w:val="0"/>
        <w:autoSpaceDE w:val="0"/>
        <w:autoSpaceDN w:val="0"/>
        <w:spacing w:after="0" w:line="240" w:lineRule="auto"/>
        <w:jc w:val="both"/>
        <w:rPr>
          <w:rFonts w:ascii="Arial" w:eastAsia="Arial" w:hAnsi="Arial" w:cs="Arial"/>
          <w:sz w:val="24"/>
          <w:szCs w:val="24"/>
          <w:lang w:val="en-US"/>
        </w:rPr>
      </w:pPr>
    </w:p>
    <w:p w14:paraId="0D696272" w14:textId="77777777" w:rsidR="00A23061" w:rsidRPr="00E33E20" w:rsidRDefault="00A23061" w:rsidP="009174FD">
      <w:pPr>
        <w:widowControl w:val="0"/>
        <w:autoSpaceDE w:val="0"/>
        <w:autoSpaceDN w:val="0"/>
        <w:spacing w:after="0" w:line="240" w:lineRule="auto"/>
        <w:jc w:val="both"/>
        <w:rPr>
          <w:rFonts w:ascii="Arial" w:eastAsia="Arial" w:hAnsi="Arial" w:cs="Arial"/>
          <w:sz w:val="24"/>
          <w:szCs w:val="24"/>
          <w:lang w:val="en-US"/>
        </w:rPr>
      </w:pPr>
      <w:r w:rsidRPr="00E33E20">
        <w:rPr>
          <w:rFonts w:ascii="Arial" w:eastAsia="Arial" w:hAnsi="Arial" w:cs="Arial"/>
          <w:sz w:val="24"/>
          <w:szCs w:val="24"/>
          <w:lang w:val="en-US"/>
        </w:rPr>
        <w:t xml:space="preserve">Additionally, based on </w:t>
      </w:r>
      <w:proofErr w:type="gramStart"/>
      <w:r w:rsidRPr="00E33E20">
        <w:rPr>
          <w:rFonts w:ascii="Arial" w:eastAsia="Arial" w:hAnsi="Arial" w:cs="Arial"/>
          <w:sz w:val="24"/>
          <w:szCs w:val="24"/>
          <w:lang w:val="en-US"/>
        </w:rPr>
        <w:t>recommendation</w:t>
      </w:r>
      <w:proofErr w:type="gramEnd"/>
      <w:r w:rsidRPr="00E33E20">
        <w:rPr>
          <w:rFonts w:ascii="Arial" w:eastAsia="Arial" w:hAnsi="Arial" w:cs="Arial"/>
          <w:sz w:val="24"/>
          <w:szCs w:val="24"/>
          <w:lang w:val="en-US"/>
        </w:rPr>
        <w:t xml:space="preserve"> of the Accessibility Task Force (2020-2021), activities are implemented to improve physical (including building and transport) and digital (including services) accessibility to support participation of people with special needs, including children, elderly and people with disabilities, in society.</w:t>
      </w:r>
    </w:p>
    <w:p w14:paraId="013ECFC8" w14:textId="77777777" w:rsidR="002233B2" w:rsidRPr="00E33E20" w:rsidRDefault="002233B2" w:rsidP="009174FD">
      <w:pPr>
        <w:autoSpaceDE w:val="0"/>
        <w:autoSpaceDN w:val="0"/>
        <w:adjustRightInd w:val="0"/>
        <w:spacing w:after="0" w:line="240" w:lineRule="auto"/>
        <w:jc w:val="both"/>
        <w:rPr>
          <w:rFonts w:ascii="Arial" w:hAnsi="Arial" w:cs="Arial"/>
          <w:b/>
          <w:sz w:val="24"/>
          <w:szCs w:val="24"/>
          <w:lang w:val="en-US"/>
        </w:rPr>
      </w:pPr>
    </w:p>
    <w:p w14:paraId="173B642D" w14:textId="47F9A2D8" w:rsidR="002233B2" w:rsidRPr="00E33E20" w:rsidRDefault="00197DB8" w:rsidP="009174FD">
      <w:pPr>
        <w:autoSpaceDE w:val="0"/>
        <w:autoSpaceDN w:val="0"/>
        <w:adjustRightInd w:val="0"/>
        <w:spacing w:after="0" w:line="240" w:lineRule="auto"/>
        <w:jc w:val="both"/>
        <w:rPr>
          <w:rFonts w:ascii="Arial" w:hAnsi="Arial" w:cs="Arial"/>
          <w:b/>
          <w:sz w:val="24"/>
          <w:szCs w:val="24"/>
          <w:lang w:val="en-US"/>
        </w:rPr>
      </w:pPr>
      <w:proofErr w:type="gramStart"/>
      <w:r w:rsidRPr="00E33E20">
        <w:rPr>
          <w:rFonts w:ascii="Arial" w:hAnsi="Arial" w:cs="Arial"/>
          <w:b/>
          <w:sz w:val="24"/>
          <w:szCs w:val="24"/>
          <w:lang w:val="en-US"/>
        </w:rPr>
        <w:t>Persons</w:t>
      </w:r>
      <w:proofErr w:type="gramEnd"/>
      <w:r w:rsidRPr="00E33E20">
        <w:rPr>
          <w:rFonts w:ascii="Arial" w:hAnsi="Arial" w:cs="Arial"/>
          <w:b/>
          <w:sz w:val="24"/>
          <w:szCs w:val="24"/>
          <w:lang w:val="en-US"/>
        </w:rPr>
        <w:t xml:space="preserve"> with disabilities &amp; related statistics</w:t>
      </w:r>
    </w:p>
    <w:p w14:paraId="5D8A3CB7" w14:textId="77777777" w:rsidR="00197DB8" w:rsidRPr="00E33E20" w:rsidRDefault="00197DB8" w:rsidP="009174FD">
      <w:pPr>
        <w:autoSpaceDE w:val="0"/>
        <w:autoSpaceDN w:val="0"/>
        <w:adjustRightInd w:val="0"/>
        <w:spacing w:after="0" w:line="240" w:lineRule="auto"/>
        <w:jc w:val="both"/>
        <w:rPr>
          <w:rFonts w:ascii="Arial" w:hAnsi="Arial" w:cs="Arial"/>
          <w:b/>
          <w:sz w:val="24"/>
          <w:szCs w:val="24"/>
          <w:lang w:val="en-US"/>
        </w:rPr>
      </w:pPr>
    </w:p>
    <w:p w14:paraId="493111D2" w14:textId="7B2E7C9A" w:rsidR="00074BFC" w:rsidRPr="00E33E20" w:rsidRDefault="00074BFC" w:rsidP="009174FD">
      <w:pPr>
        <w:spacing w:after="0" w:line="240" w:lineRule="auto"/>
        <w:ind w:right="190"/>
        <w:jc w:val="both"/>
        <w:rPr>
          <w:rFonts w:ascii="Arial" w:hAnsi="Arial" w:cs="Arial"/>
          <w:sz w:val="24"/>
          <w:szCs w:val="24"/>
          <w:lang w:val="en-US"/>
        </w:rPr>
      </w:pPr>
      <w:r w:rsidRPr="00E33E20">
        <w:rPr>
          <w:rFonts w:ascii="Arial" w:hAnsi="Arial" w:cs="Arial"/>
          <w:sz w:val="24"/>
          <w:szCs w:val="24"/>
          <w:lang w:val="en-US"/>
        </w:rPr>
        <w:t xml:space="preserve">Estonian Unemployment Insurance Fund provides access to training measures for employed people with health problems, including people with disabilities. This involves labour market training </w:t>
      </w:r>
      <w:proofErr w:type="gramStart"/>
      <w:r w:rsidRPr="00E33E20">
        <w:rPr>
          <w:rFonts w:ascii="Arial" w:hAnsi="Arial" w:cs="Arial"/>
          <w:sz w:val="24"/>
          <w:szCs w:val="24"/>
          <w:lang w:val="en-US"/>
        </w:rPr>
        <w:t>in</w:t>
      </w:r>
      <w:proofErr w:type="gramEnd"/>
      <w:r w:rsidRPr="00E33E20">
        <w:rPr>
          <w:rFonts w:ascii="Arial" w:hAnsi="Arial" w:cs="Arial"/>
          <w:sz w:val="24"/>
          <w:szCs w:val="24"/>
          <w:lang w:val="en-US"/>
        </w:rPr>
        <w:t xml:space="preserve"> the extent of 2,500 Euros in areas defined by </w:t>
      </w:r>
      <w:proofErr w:type="gramStart"/>
      <w:r w:rsidRPr="00E33E20">
        <w:rPr>
          <w:rFonts w:ascii="Arial" w:hAnsi="Arial" w:cs="Arial"/>
          <w:sz w:val="24"/>
          <w:szCs w:val="24"/>
          <w:lang w:val="en-US"/>
        </w:rPr>
        <w:t>Unemployment</w:t>
      </w:r>
      <w:proofErr w:type="gramEnd"/>
      <w:r w:rsidRPr="00E33E20">
        <w:rPr>
          <w:rFonts w:ascii="Arial" w:hAnsi="Arial" w:cs="Arial"/>
          <w:sz w:val="24"/>
          <w:szCs w:val="24"/>
          <w:lang w:val="en-US"/>
        </w:rPr>
        <w:t xml:space="preserve"> Insurance Fund (i.e. with proven labour force and skills needs). Also, training courses </w:t>
      </w:r>
      <w:r w:rsidR="009174FD" w:rsidRPr="00E33E20">
        <w:rPr>
          <w:rFonts w:ascii="Arial" w:hAnsi="Arial" w:cs="Arial"/>
          <w:sz w:val="24"/>
          <w:szCs w:val="24"/>
          <w:lang w:val="en-US"/>
        </w:rPr>
        <w:t>for</w:t>
      </w:r>
      <w:r w:rsidRPr="00E33E20">
        <w:rPr>
          <w:rFonts w:ascii="Arial" w:hAnsi="Arial" w:cs="Arial"/>
          <w:sz w:val="24"/>
          <w:szCs w:val="24"/>
          <w:lang w:val="en-US"/>
        </w:rPr>
        <w:t xml:space="preserve"> people looking for work are available to </w:t>
      </w:r>
      <w:proofErr w:type="gramStart"/>
      <w:r w:rsidRPr="00E33E20">
        <w:rPr>
          <w:rFonts w:ascii="Arial" w:hAnsi="Arial" w:cs="Arial"/>
          <w:sz w:val="24"/>
          <w:szCs w:val="24"/>
          <w:lang w:val="en-US"/>
        </w:rPr>
        <w:t>registered</w:t>
      </w:r>
      <w:proofErr w:type="gramEnd"/>
      <w:r w:rsidRPr="00E33E20">
        <w:rPr>
          <w:rFonts w:ascii="Arial" w:hAnsi="Arial" w:cs="Arial"/>
          <w:sz w:val="24"/>
          <w:szCs w:val="24"/>
          <w:lang w:val="en-US"/>
        </w:rPr>
        <w:t xml:space="preserve"> unemployed (including people with disabilities) in case training needs are identified in the counselling process. Also, </w:t>
      </w:r>
      <w:r w:rsidR="009174FD" w:rsidRPr="00E33E20">
        <w:rPr>
          <w:rFonts w:ascii="Arial" w:hAnsi="Arial" w:cs="Arial"/>
          <w:sz w:val="24"/>
          <w:szCs w:val="24"/>
          <w:lang w:val="en-US"/>
        </w:rPr>
        <w:t>the Unemployment</w:t>
      </w:r>
      <w:r w:rsidRPr="00E33E20">
        <w:rPr>
          <w:rFonts w:ascii="Arial" w:hAnsi="Arial" w:cs="Arial"/>
          <w:sz w:val="24"/>
          <w:szCs w:val="24"/>
          <w:lang w:val="en-US"/>
        </w:rPr>
        <w:t xml:space="preserve"> Insurance Fund supports participation in formal training (including vocational and higher education </w:t>
      </w:r>
      <w:r w:rsidR="009174FD" w:rsidRPr="00E33E20">
        <w:rPr>
          <w:rFonts w:ascii="Arial" w:hAnsi="Arial" w:cs="Arial"/>
          <w:sz w:val="24"/>
          <w:szCs w:val="24"/>
          <w:lang w:val="en-US"/>
        </w:rPr>
        <w:t>programs</w:t>
      </w:r>
      <w:r w:rsidRPr="00E33E20">
        <w:rPr>
          <w:rFonts w:ascii="Arial" w:hAnsi="Arial" w:cs="Arial"/>
          <w:sz w:val="24"/>
          <w:szCs w:val="24"/>
          <w:lang w:val="en-US"/>
        </w:rPr>
        <w:t xml:space="preserve">) for people who need new skills due to health reasons. The education </w:t>
      </w:r>
      <w:r w:rsidR="009174FD" w:rsidRPr="00E33E20">
        <w:rPr>
          <w:rFonts w:ascii="Arial" w:hAnsi="Arial" w:cs="Arial"/>
          <w:sz w:val="24"/>
          <w:szCs w:val="24"/>
          <w:lang w:val="en-US"/>
        </w:rPr>
        <w:t>programs</w:t>
      </w:r>
      <w:r w:rsidRPr="00E33E20">
        <w:rPr>
          <w:rFonts w:ascii="Arial" w:hAnsi="Arial" w:cs="Arial"/>
          <w:sz w:val="24"/>
          <w:szCs w:val="24"/>
          <w:lang w:val="en-US"/>
        </w:rPr>
        <w:t xml:space="preserve"> that are supported involve only publicly financed positions (participation fees are not covered) and must enable employment considering the person’s health conditions and are in areas with labour force and skills needs. The support includes a monthly payment </w:t>
      </w:r>
      <w:proofErr w:type="gramStart"/>
      <w:r w:rsidRPr="00E33E20">
        <w:rPr>
          <w:rFonts w:ascii="Arial" w:hAnsi="Arial" w:cs="Arial"/>
          <w:sz w:val="24"/>
          <w:szCs w:val="24"/>
          <w:lang w:val="en-US"/>
        </w:rPr>
        <w:t>during the course of</w:t>
      </w:r>
      <w:proofErr w:type="gramEnd"/>
      <w:r w:rsidRPr="00E33E20">
        <w:rPr>
          <w:rFonts w:ascii="Arial" w:hAnsi="Arial" w:cs="Arial"/>
          <w:sz w:val="24"/>
          <w:szCs w:val="24"/>
          <w:lang w:val="en-US"/>
        </w:rPr>
        <w:t xml:space="preserve"> studies (in 2025 gross payment of 410,13 Euros per month).</w:t>
      </w:r>
    </w:p>
    <w:p w14:paraId="5C3A45B1" w14:textId="77777777" w:rsidR="009174FD" w:rsidRPr="00E33E20" w:rsidRDefault="009174FD" w:rsidP="009174FD">
      <w:pPr>
        <w:spacing w:after="0" w:line="240" w:lineRule="auto"/>
        <w:ind w:right="190"/>
        <w:jc w:val="both"/>
        <w:rPr>
          <w:rFonts w:ascii="Arial" w:hAnsi="Arial" w:cs="Arial"/>
          <w:sz w:val="24"/>
          <w:szCs w:val="24"/>
          <w:lang w:val="en-US"/>
        </w:rPr>
      </w:pPr>
    </w:p>
    <w:p w14:paraId="7A858292" w14:textId="172B0E83" w:rsidR="00074BFC" w:rsidRPr="00E33E20" w:rsidRDefault="00074BFC" w:rsidP="009174FD">
      <w:pPr>
        <w:spacing w:after="0" w:line="240" w:lineRule="auto"/>
        <w:ind w:right="190"/>
        <w:jc w:val="both"/>
        <w:rPr>
          <w:rFonts w:ascii="Arial" w:hAnsi="Arial" w:cs="Arial"/>
          <w:sz w:val="24"/>
          <w:szCs w:val="24"/>
          <w:lang w:val="en-US"/>
        </w:rPr>
      </w:pPr>
      <w:proofErr w:type="gramStart"/>
      <w:r w:rsidRPr="00E33E20">
        <w:rPr>
          <w:rFonts w:ascii="Arial" w:hAnsi="Arial" w:cs="Arial"/>
          <w:sz w:val="24"/>
          <w:szCs w:val="24"/>
          <w:lang w:val="en-US"/>
        </w:rPr>
        <w:t>Unemployment</w:t>
      </w:r>
      <w:proofErr w:type="gramEnd"/>
      <w:r w:rsidRPr="00E33E20">
        <w:rPr>
          <w:rFonts w:ascii="Arial" w:hAnsi="Arial" w:cs="Arial"/>
          <w:sz w:val="24"/>
          <w:szCs w:val="24"/>
          <w:lang w:val="en-US"/>
        </w:rPr>
        <w:t xml:space="preserve"> Insurance Fund also offers a range of </w:t>
      </w:r>
      <w:r w:rsidR="009174FD" w:rsidRPr="00E33E20">
        <w:rPr>
          <w:rFonts w:ascii="Arial" w:hAnsi="Arial" w:cs="Arial"/>
          <w:sz w:val="24"/>
          <w:szCs w:val="24"/>
          <w:lang w:val="en-US"/>
        </w:rPr>
        <w:t>measures</w:t>
      </w:r>
      <w:r w:rsidRPr="00E33E20">
        <w:rPr>
          <w:rFonts w:ascii="Arial" w:hAnsi="Arial" w:cs="Arial"/>
          <w:sz w:val="24"/>
          <w:szCs w:val="24"/>
          <w:lang w:val="en-US"/>
        </w:rPr>
        <w:t xml:space="preserve"> to support employment for people with reduced work ability, including counselling, workplace adaptation, supported employment service, work-related rehabilitation etc. Unemployment Insurance Fund also conducts work ability </w:t>
      </w:r>
      <w:proofErr w:type="gramStart"/>
      <w:r w:rsidRPr="00E33E20">
        <w:rPr>
          <w:rFonts w:ascii="Arial" w:hAnsi="Arial" w:cs="Arial"/>
          <w:sz w:val="24"/>
          <w:szCs w:val="24"/>
          <w:lang w:val="en-US"/>
        </w:rPr>
        <w:t>assessment</w:t>
      </w:r>
      <w:proofErr w:type="gramEnd"/>
      <w:r w:rsidRPr="00E33E20">
        <w:rPr>
          <w:rFonts w:ascii="Arial" w:hAnsi="Arial" w:cs="Arial"/>
          <w:sz w:val="24"/>
          <w:szCs w:val="24"/>
          <w:lang w:val="en-US"/>
        </w:rPr>
        <w:t xml:space="preserve"> which means that as soon as a person receives a decision on reduced work ability, the respective labour market measures are available from the same public institution. All people with partial work ability who apply for work ability allowance are subject to activity requirements, i.e. in case not employed, active job search is expected (some exceptions apply).        </w:t>
      </w:r>
    </w:p>
    <w:p w14:paraId="308A2616" w14:textId="77777777" w:rsidR="009174FD" w:rsidRPr="00E33E20" w:rsidRDefault="009174FD" w:rsidP="009174FD">
      <w:pPr>
        <w:spacing w:after="0" w:line="240" w:lineRule="auto"/>
        <w:ind w:right="190"/>
        <w:jc w:val="both"/>
        <w:rPr>
          <w:rFonts w:ascii="Arial" w:hAnsi="Arial" w:cs="Arial"/>
          <w:sz w:val="24"/>
          <w:szCs w:val="24"/>
          <w:lang w:val="en-US"/>
        </w:rPr>
      </w:pPr>
    </w:p>
    <w:p w14:paraId="6EEF20B5" w14:textId="230C6818" w:rsidR="00074BFC" w:rsidRPr="00E33E20" w:rsidRDefault="00074BFC" w:rsidP="009174FD">
      <w:pPr>
        <w:spacing w:after="0" w:line="240" w:lineRule="auto"/>
        <w:ind w:right="190"/>
        <w:jc w:val="both"/>
        <w:rPr>
          <w:rFonts w:ascii="Arial" w:hAnsi="Arial" w:cs="Arial"/>
          <w:sz w:val="24"/>
          <w:szCs w:val="24"/>
          <w:lang w:val="en-US"/>
        </w:rPr>
      </w:pPr>
      <w:r w:rsidRPr="00E33E20">
        <w:rPr>
          <w:rFonts w:ascii="Arial" w:hAnsi="Arial" w:cs="Arial"/>
          <w:sz w:val="24"/>
          <w:szCs w:val="24"/>
          <w:lang w:val="en-US"/>
        </w:rPr>
        <w:t xml:space="preserve">In 2024, 33% of people with reduced work ability aged 20-64 participated in lifelong learning over the past 12 months compared to 58% among people with no reduced work ability (Labour Force Survey, Statistics Estonia). In 2024, 53% of people with reduced work ability aged 20-64 were employed compared to 85.5% among people with no reduced work ability. </w:t>
      </w:r>
      <w:proofErr w:type="gramStart"/>
      <w:r w:rsidRPr="00E33E20">
        <w:rPr>
          <w:rFonts w:ascii="Arial" w:hAnsi="Arial" w:cs="Arial"/>
          <w:sz w:val="24"/>
          <w:szCs w:val="24"/>
          <w:lang w:val="en-US"/>
        </w:rPr>
        <w:t>Employment</w:t>
      </w:r>
      <w:proofErr w:type="gramEnd"/>
      <w:r w:rsidRPr="00E33E20">
        <w:rPr>
          <w:rFonts w:ascii="Arial" w:hAnsi="Arial" w:cs="Arial"/>
          <w:sz w:val="24"/>
          <w:szCs w:val="24"/>
          <w:lang w:val="en-US"/>
        </w:rPr>
        <w:t xml:space="preserve"> rate has remained relatively </w:t>
      </w:r>
      <w:r w:rsidR="009174FD" w:rsidRPr="00E33E20">
        <w:rPr>
          <w:rFonts w:ascii="Arial" w:hAnsi="Arial" w:cs="Arial"/>
          <w:sz w:val="24"/>
          <w:szCs w:val="24"/>
          <w:lang w:val="en-US"/>
        </w:rPr>
        <w:t>stable,</w:t>
      </w:r>
      <w:r w:rsidRPr="00E33E20">
        <w:rPr>
          <w:rFonts w:ascii="Arial" w:hAnsi="Arial" w:cs="Arial"/>
          <w:sz w:val="24"/>
          <w:szCs w:val="24"/>
          <w:lang w:val="en-US"/>
        </w:rPr>
        <w:t xml:space="preserve"> ranging between 52 and 55% over the past five years. </w:t>
      </w:r>
    </w:p>
    <w:p w14:paraId="4A86BE9E" w14:textId="77777777" w:rsidR="009174FD" w:rsidRPr="00E33E20" w:rsidRDefault="009174FD" w:rsidP="009174FD">
      <w:pPr>
        <w:spacing w:after="0" w:line="240" w:lineRule="auto"/>
        <w:ind w:right="190"/>
        <w:jc w:val="both"/>
        <w:rPr>
          <w:rFonts w:ascii="Arial" w:hAnsi="Arial" w:cs="Arial"/>
          <w:sz w:val="24"/>
          <w:szCs w:val="24"/>
          <w:lang w:val="en-US"/>
        </w:rPr>
      </w:pPr>
    </w:p>
    <w:p w14:paraId="1C2B289C" w14:textId="0E6FB7D5" w:rsidR="00796F4C" w:rsidRPr="00E33E20" w:rsidRDefault="003A29A2" w:rsidP="009174FD">
      <w:pPr>
        <w:autoSpaceDE w:val="0"/>
        <w:autoSpaceDN w:val="0"/>
        <w:adjustRightInd w:val="0"/>
        <w:spacing w:after="0" w:line="240" w:lineRule="auto"/>
        <w:jc w:val="both"/>
        <w:rPr>
          <w:rFonts w:ascii="Arial" w:hAnsi="Arial" w:cs="Arial"/>
          <w:b/>
          <w:sz w:val="24"/>
          <w:szCs w:val="24"/>
          <w:lang w:val="en-US"/>
        </w:rPr>
      </w:pPr>
      <w:r w:rsidRPr="00E33E20">
        <w:rPr>
          <w:rFonts w:ascii="Arial" w:hAnsi="Arial" w:cs="Arial"/>
          <w:bCs/>
          <w:iCs/>
          <w:sz w:val="24"/>
          <w:szCs w:val="24"/>
          <w:lang w:val="en-US"/>
        </w:rPr>
        <w:t>Labour dispute committees and courts do not gather statistics specifically on disputes based on discrimination</w:t>
      </w:r>
      <w:r w:rsidR="00720D73" w:rsidRPr="00E33E20">
        <w:rPr>
          <w:rFonts w:ascii="Arial" w:hAnsi="Arial" w:cs="Arial"/>
          <w:bCs/>
          <w:iCs/>
          <w:sz w:val="24"/>
          <w:szCs w:val="24"/>
          <w:lang w:val="en-US"/>
        </w:rPr>
        <w:t xml:space="preserve"> based on disabilities.</w:t>
      </w:r>
      <w:r w:rsidR="00796F4C" w:rsidRPr="00E33E20">
        <w:rPr>
          <w:rFonts w:ascii="Arial" w:hAnsi="Arial" w:cs="Arial"/>
          <w:bCs/>
          <w:iCs/>
          <w:sz w:val="24"/>
          <w:szCs w:val="24"/>
          <w:lang w:val="en-US"/>
        </w:rPr>
        <w:t xml:space="preserve"> In 2024, the </w:t>
      </w:r>
      <w:r w:rsidR="00796F4C" w:rsidRPr="00E33E20">
        <w:rPr>
          <w:rFonts w:ascii="Arial" w:hAnsi="Arial" w:cs="Arial"/>
          <w:bCs/>
          <w:sz w:val="24"/>
          <w:szCs w:val="24"/>
          <w:lang w:val="en-US"/>
        </w:rPr>
        <w:t>Gender Equality and Equal Treatment Commissioner</w:t>
      </w:r>
      <w:r w:rsidR="00796F4C" w:rsidRPr="00E33E20">
        <w:rPr>
          <w:rFonts w:ascii="Arial" w:hAnsi="Arial" w:cs="Arial"/>
          <w:b/>
          <w:sz w:val="24"/>
          <w:szCs w:val="24"/>
          <w:lang w:val="en-US"/>
        </w:rPr>
        <w:t xml:space="preserve"> </w:t>
      </w:r>
      <w:r w:rsidR="00796F4C" w:rsidRPr="00E33E20">
        <w:rPr>
          <w:rFonts w:ascii="Arial" w:hAnsi="Arial" w:cs="Arial"/>
          <w:sz w:val="24"/>
          <w:szCs w:val="24"/>
          <w:lang w:val="en-US"/>
        </w:rPr>
        <w:t xml:space="preserve">received </w:t>
      </w:r>
      <w:r w:rsidR="00054859" w:rsidRPr="00E33E20">
        <w:rPr>
          <w:rFonts w:ascii="Arial" w:hAnsi="Arial" w:cs="Arial"/>
          <w:sz w:val="24"/>
          <w:szCs w:val="24"/>
          <w:lang w:val="en-US"/>
        </w:rPr>
        <w:t>21</w:t>
      </w:r>
      <w:r w:rsidR="00796F4C" w:rsidRPr="00E33E20">
        <w:rPr>
          <w:rFonts w:ascii="Arial" w:hAnsi="Arial" w:cs="Arial"/>
          <w:sz w:val="24"/>
          <w:szCs w:val="24"/>
          <w:lang w:val="en-US"/>
        </w:rPr>
        <w:t xml:space="preserve"> enquiries related to </w:t>
      </w:r>
      <w:r w:rsidR="00054859" w:rsidRPr="00E33E20">
        <w:rPr>
          <w:rFonts w:ascii="Arial" w:hAnsi="Arial" w:cs="Arial"/>
          <w:sz w:val="24"/>
          <w:szCs w:val="24"/>
          <w:lang w:val="en-US"/>
        </w:rPr>
        <w:t>disability</w:t>
      </w:r>
      <w:r w:rsidR="00796F4C" w:rsidRPr="00E33E20">
        <w:rPr>
          <w:rFonts w:ascii="Arial" w:hAnsi="Arial" w:cs="Arial"/>
          <w:sz w:val="24"/>
          <w:szCs w:val="24"/>
          <w:lang w:val="en-US"/>
        </w:rPr>
        <w:t>.</w:t>
      </w:r>
    </w:p>
    <w:p w14:paraId="5A27F320" w14:textId="77777777" w:rsidR="00C75DCA" w:rsidRPr="00E33E20" w:rsidRDefault="00C75DCA" w:rsidP="009174FD">
      <w:pPr>
        <w:autoSpaceDE w:val="0"/>
        <w:autoSpaceDN w:val="0"/>
        <w:adjustRightInd w:val="0"/>
        <w:spacing w:after="0" w:line="240" w:lineRule="auto"/>
        <w:jc w:val="both"/>
        <w:rPr>
          <w:rFonts w:ascii="Arial" w:hAnsi="Arial" w:cs="Arial"/>
          <w:sz w:val="24"/>
          <w:szCs w:val="24"/>
          <w:lang w:val="en-US"/>
        </w:rPr>
      </w:pPr>
    </w:p>
    <w:p w14:paraId="3A4C3EEC" w14:textId="20277B21" w:rsidR="00197DB8" w:rsidRPr="00E33E20" w:rsidRDefault="00676C19" w:rsidP="009174FD">
      <w:pPr>
        <w:autoSpaceDE w:val="0"/>
        <w:autoSpaceDN w:val="0"/>
        <w:adjustRightInd w:val="0"/>
        <w:spacing w:after="0" w:line="240" w:lineRule="auto"/>
        <w:jc w:val="both"/>
        <w:rPr>
          <w:rFonts w:ascii="Arial" w:hAnsi="Arial" w:cs="Arial"/>
          <w:bCs/>
          <w:sz w:val="24"/>
          <w:szCs w:val="24"/>
          <w:lang w:val="en-US"/>
        </w:rPr>
      </w:pPr>
      <w:r w:rsidRPr="00E33E20">
        <w:rPr>
          <w:rFonts w:ascii="Arial" w:hAnsi="Arial" w:cs="Arial"/>
          <w:bCs/>
          <w:sz w:val="24"/>
          <w:szCs w:val="24"/>
          <w:lang w:val="en-US"/>
        </w:rPr>
        <w:t xml:space="preserve">The Labour Inspectorate </w:t>
      </w:r>
      <w:proofErr w:type="gramStart"/>
      <w:r w:rsidRPr="00E33E20">
        <w:rPr>
          <w:rFonts w:ascii="Arial" w:hAnsi="Arial" w:cs="Arial"/>
          <w:bCs/>
          <w:sz w:val="24"/>
          <w:szCs w:val="24"/>
          <w:lang w:val="en-US"/>
        </w:rPr>
        <w:t>is able to</w:t>
      </w:r>
      <w:proofErr w:type="gramEnd"/>
      <w:r w:rsidRPr="00E33E20">
        <w:rPr>
          <w:rFonts w:ascii="Arial" w:hAnsi="Arial" w:cs="Arial"/>
          <w:bCs/>
          <w:sz w:val="24"/>
          <w:szCs w:val="24"/>
          <w:lang w:val="en-US"/>
        </w:rPr>
        <w:t xml:space="preserve"> carry out supervision when a person has experienced workplace bullying (can be also due to disability) and check whether the employer has assessed psychosocial risk factors, as well as applied necessary means to stop workplace bullying. In supervision, in the last five years, we have been able to identify two complaints that are to some extent related to disability. In one case: the complainant was a man with a mobility impairment, who pointed out that he had been repeatedly accused of smelling unpleasant and not wearing nice clothes, also that there is verbal humiliation in the work environment directed towards the man's mobility impairment. The inspector carried out an inspection at the company. Another complaint also refers to bullying related to mobility impairment. The applicant </w:t>
      </w:r>
      <w:r w:rsidR="00BB64D9" w:rsidRPr="00E33E20">
        <w:rPr>
          <w:rFonts w:ascii="Arial" w:hAnsi="Arial" w:cs="Arial"/>
          <w:bCs/>
          <w:sz w:val="24"/>
          <w:szCs w:val="24"/>
          <w:lang w:val="en-US"/>
        </w:rPr>
        <w:t>was</w:t>
      </w:r>
      <w:r w:rsidRPr="00E33E20">
        <w:rPr>
          <w:rFonts w:ascii="Arial" w:hAnsi="Arial" w:cs="Arial"/>
          <w:bCs/>
          <w:sz w:val="24"/>
          <w:szCs w:val="24"/>
          <w:lang w:val="en-US"/>
        </w:rPr>
        <w:t xml:space="preserve"> a person with a disability who pointed out that at one point he was bullied because of his disability (for example: why does he park his car in a spot intended for people with disabilities). He did not pay enough attention to this and this behavior, however the attitude continued. A </w:t>
      </w:r>
      <w:r w:rsidR="00BB64D9" w:rsidRPr="00E33E20">
        <w:rPr>
          <w:rFonts w:ascii="Arial" w:hAnsi="Arial" w:cs="Arial"/>
          <w:bCs/>
          <w:sz w:val="24"/>
          <w:szCs w:val="24"/>
          <w:lang w:val="en-US"/>
        </w:rPr>
        <w:t>memorandum (</w:t>
      </w:r>
      <w:proofErr w:type="spellStart"/>
      <w:r w:rsidR="00BB64D9" w:rsidRPr="00E33E20">
        <w:rPr>
          <w:rFonts w:ascii="Arial" w:hAnsi="Arial" w:cs="Arial"/>
          <w:bCs/>
          <w:sz w:val="24"/>
          <w:szCs w:val="24"/>
          <w:lang w:val="en-US"/>
        </w:rPr>
        <w:t>märgukiri</w:t>
      </w:r>
      <w:proofErr w:type="spellEnd"/>
      <w:r w:rsidR="00BB64D9" w:rsidRPr="00E33E20">
        <w:rPr>
          <w:rFonts w:ascii="Arial" w:hAnsi="Arial" w:cs="Arial"/>
          <w:bCs/>
          <w:sz w:val="24"/>
          <w:szCs w:val="24"/>
          <w:lang w:val="en-US"/>
        </w:rPr>
        <w:t>)</w:t>
      </w:r>
      <w:r w:rsidRPr="00E33E20">
        <w:rPr>
          <w:rFonts w:ascii="Arial" w:hAnsi="Arial" w:cs="Arial"/>
          <w:bCs/>
          <w:sz w:val="24"/>
          <w:szCs w:val="24"/>
          <w:lang w:val="en-US"/>
        </w:rPr>
        <w:t xml:space="preserve"> was issued to the company.</w:t>
      </w:r>
    </w:p>
    <w:p w14:paraId="096EDF30" w14:textId="77777777" w:rsidR="002233B2" w:rsidRPr="00E33E20" w:rsidRDefault="002233B2" w:rsidP="009174FD">
      <w:pPr>
        <w:autoSpaceDE w:val="0"/>
        <w:autoSpaceDN w:val="0"/>
        <w:adjustRightInd w:val="0"/>
        <w:spacing w:after="0" w:line="240" w:lineRule="auto"/>
        <w:jc w:val="both"/>
        <w:rPr>
          <w:rFonts w:ascii="Arial" w:hAnsi="Arial" w:cs="Arial"/>
          <w:b/>
          <w:sz w:val="24"/>
          <w:szCs w:val="24"/>
          <w:lang w:val="en-US"/>
        </w:rPr>
      </w:pPr>
    </w:p>
    <w:p w14:paraId="06CFA641" w14:textId="2BD4192B" w:rsidR="002233B2" w:rsidRPr="00E33E20" w:rsidRDefault="00406F96" w:rsidP="009174FD">
      <w:pPr>
        <w:autoSpaceDE w:val="0"/>
        <w:autoSpaceDN w:val="0"/>
        <w:adjustRightInd w:val="0"/>
        <w:spacing w:after="0" w:line="240" w:lineRule="auto"/>
        <w:jc w:val="both"/>
        <w:rPr>
          <w:rFonts w:ascii="Arial" w:hAnsi="Arial" w:cs="Arial"/>
          <w:b/>
          <w:sz w:val="24"/>
          <w:szCs w:val="24"/>
          <w:lang w:val="en-US"/>
        </w:rPr>
      </w:pPr>
      <w:r w:rsidRPr="00E33E20">
        <w:rPr>
          <w:rFonts w:ascii="Arial" w:hAnsi="Arial" w:cs="Arial"/>
          <w:b/>
          <w:sz w:val="24"/>
          <w:szCs w:val="24"/>
          <w:lang w:val="en-US"/>
        </w:rPr>
        <w:t>Language requirements and ethnic minorities</w:t>
      </w:r>
    </w:p>
    <w:p w14:paraId="49DF0CA5" w14:textId="77777777" w:rsidR="002233B2" w:rsidRPr="00E33E20" w:rsidRDefault="002233B2" w:rsidP="009174FD">
      <w:pPr>
        <w:autoSpaceDE w:val="0"/>
        <w:autoSpaceDN w:val="0"/>
        <w:adjustRightInd w:val="0"/>
        <w:spacing w:after="0" w:line="240" w:lineRule="auto"/>
        <w:jc w:val="both"/>
        <w:rPr>
          <w:rFonts w:ascii="Arial" w:hAnsi="Arial" w:cs="Arial"/>
          <w:b/>
          <w:sz w:val="24"/>
          <w:szCs w:val="24"/>
          <w:lang w:val="en-US"/>
        </w:rPr>
      </w:pPr>
    </w:p>
    <w:p w14:paraId="01970BFE" w14:textId="7523B16C" w:rsidR="00793720" w:rsidRPr="00E33E20" w:rsidRDefault="00793720" w:rsidP="009174FD">
      <w:pPr>
        <w:spacing w:after="0" w:line="240" w:lineRule="auto"/>
        <w:jc w:val="both"/>
        <w:rPr>
          <w:rFonts w:ascii="Arial" w:eastAsia="Aptos" w:hAnsi="Arial" w:cs="Arial"/>
          <w:sz w:val="24"/>
          <w:szCs w:val="24"/>
          <w:lang w:val="en-US"/>
        </w:rPr>
      </w:pPr>
      <w:r w:rsidRPr="00E33E20">
        <w:rPr>
          <w:rFonts w:ascii="Arial" w:eastAsia="Aptos" w:hAnsi="Arial" w:cs="Arial"/>
          <w:sz w:val="24"/>
          <w:szCs w:val="24"/>
          <w:lang w:val="en-US"/>
        </w:rPr>
        <w:t xml:space="preserve">Language requirements are established </w:t>
      </w:r>
      <w:proofErr w:type="gramStart"/>
      <w:r w:rsidRPr="00E33E20">
        <w:rPr>
          <w:rFonts w:ascii="Arial" w:eastAsia="Aptos" w:hAnsi="Arial" w:cs="Arial"/>
          <w:sz w:val="24"/>
          <w:szCs w:val="24"/>
          <w:lang w:val="en-US"/>
        </w:rPr>
        <w:t>on the basis of</w:t>
      </w:r>
      <w:proofErr w:type="gramEnd"/>
      <w:r w:rsidRPr="00E33E20">
        <w:rPr>
          <w:rFonts w:ascii="Arial" w:eastAsia="Aptos" w:hAnsi="Arial" w:cs="Arial"/>
          <w:sz w:val="24"/>
          <w:szCs w:val="24"/>
          <w:lang w:val="en-US"/>
        </w:rPr>
        <w:t xml:space="preserve"> the Language Act. The Act states that the goal is to ensure that Estonian is the primary language of communication in all spheres of public life (specifically, and with a view to regulating language use in the private sector, this includes public safety, public order, public administration, education, health, consumer protection and occupational safety). This goal is based on the Constitution which tasks the Government with ensuring the use, development and sustainability of the Estonian language. To fulfil this goal, certain occupations have language requirements. The choice of such jobs follows from the previous goal and the specific requirements established take into consideration the nature of the jobs and their typical language use situations. We wish to underline that there are various areas of employment that do not have language requirements. In the jobs where language requirements are established, these apply to all employees regardless of their race, </w:t>
      </w:r>
      <w:proofErr w:type="spellStart"/>
      <w:r w:rsidRPr="00E33E20">
        <w:rPr>
          <w:rFonts w:ascii="Arial" w:eastAsia="Aptos" w:hAnsi="Arial" w:cs="Arial"/>
          <w:sz w:val="24"/>
          <w:szCs w:val="24"/>
          <w:lang w:val="en-US"/>
        </w:rPr>
        <w:t>colour</w:t>
      </w:r>
      <w:proofErr w:type="spellEnd"/>
      <w:r w:rsidRPr="00E33E20">
        <w:rPr>
          <w:rFonts w:ascii="Arial" w:eastAsia="Aptos" w:hAnsi="Arial" w:cs="Arial"/>
          <w:sz w:val="24"/>
          <w:szCs w:val="24"/>
          <w:lang w:val="en-US"/>
        </w:rPr>
        <w:t xml:space="preserve">, national extraction or social origin. Various </w:t>
      </w:r>
      <w:proofErr w:type="spellStart"/>
      <w:r w:rsidRPr="00E33E20">
        <w:rPr>
          <w:rFonts w:ascii="Arial" w:eastAsia="Aptos" w:hAnsi="Arial" w:cs="Arial"/>
          <w:sz w:val="24"/>
          <w:szCs w:val="24"/>
          <w:lang w:val="en-US"/>
        </w:rPr>
        <w:t>programmes</w:t>
      </w:r>
      <w:proofErr w:type="spellEnd"/>
      <w:r w:rsidRPr="00E33E20">
        <w:rPr>
          <w:rFonts w:ascii="Arial" w:eastAsia="Aptos" w:hAnsi="Arial" w:cs="Arial"/>
          <w:sz w:val="24"/>
          <w:szCs w:val="24"/>
          <w:lang w:val="en-US"/>
        </w:rPr>
        <w:t xml:space="preserve"> and opportunities exist for people to develop their Estonian language skills, many of them offered free of charge. These include both in-person courses, online teacher-led courses as well as self-guided online courses. A major reform underway is the transition of Russian-medium schools to Estonian-medium instruction. The reform began in 2024/2025 academic year and will conclude by 2030. This will help ensure sufficient Estonian skills for people with other mother tongues and will help close the educational as well as income gaps.</w:t>
      </w:r>
    </w:p>
    <w:p w14:paraId="3D74759F" w14:textId="77777777" w:rsidR="00BB64D9" w:rsidRPr="00E33E20" w:rsidRDefault="00BB64D9" w:rsidP="009174FD">
      <w:pPr>
        <w:spacing w:after="0" w:line="240" w:lineRule="auto"/>
        <w:jc w:val="both"/>
        <w:rPr>
          <w:rFonts w:ascii="Arial" w:hAnsi="Arial" w:cs="Arial"/>
          <w:b/>
          <w:bCs/>
          <w:i/>
          <w:iCs/>
          <w:sz w:val="24"/>
          <w:szCs w:val="24"/>
          <w:lang w:val="en-US"/>
        </w:rPr>
      </w:pPr>
    </w:p>
    <w:p w14:paraId="1AB3CBE5" w14:textId="56126A3F" w:rsidR="00793720" w:rsidRPr="00E33E20" w:rsidRDefault="00793720" w:rsidP="009174FD">
      <w:pPr>
        <w:spacing w:after="0" w:line="240" w:lineRule="auto"/>
        <w:jc w:val="both"/>
        <w:rPr>
          <w:rFonts w:ascii="Arial" w:eastAsia="Aptos" w:hAnsi="Arial" w:cs="Arial"/>
          <w:sz w:val="24"/>
          <w:szCs w:val="24"/>
          <w:lang w:val="en-US"/>
        </w:rPr>
      </w:pPr>
      <w:r w:rsidRPr="00E33E20">
        <w:rPr>
          <w:rFonts w:ascii="Arial" w:eastAsia="Aptos" w:hAnsi="Arial" w:cs="Arial"/>
          <w:sz w:val="24"/>
          <w:szCs w:val="24"/>
          <w:lang w:val="en-US"/>
        </w:rPr>
        <w:t xml:space="preserve">The Language Board publishes a yearly overview of their work, which includes information on the implementation of Regulation No. 84. These can be accessed on their home page: </w:t>
      </w:r>
      <w:hyperlink r:id="rId18">
        <w:r w:rsidRPr="00E33E20">
          <w:rPr>
            <w:rStyle w:val="Hperlink"/>
            <w:rFonts w:ascii="Arial" w:eastAsia="Aptos" w:hAnsi="Arial" w:cs="Arial"/>
            <w:color w:val="auto"/>
            <w:sz w:val="24"/>
            <w:szCs w:val="24"/>
            <w:lang w:val="en-US"/>
          </w:rPr>
          <w:t>https://www.keeleamet.ee/keeleameti-tegevused-ja-eesmargid/keeleseaduse-ja-teiste-keeleoskust-ja-keelekasutust-3</w:t>
        </w:r>
      </w:hyperlink>
      <w:r w:rsidRPr="00E33E20">
        <w:rPr>
          <w:rFonts w:ascii="Arial" w:eastAsia="Aptos" w:hAnsi="Arial" w:cs="Arial"/>
          <w:sz w:val="24"/>
          <w:szCs w:val="24"/>
          <w:lang w:val="en-US"/>
        </w:rPr>
        <w:t xml:space="preserve">. The most recent report is for 2024. In 2024, the Board drew up reports on 2254 employees. A non-compliance levy was implemented in 175 instances (144 euros on average; 25 410 euros in total). Of these, 173 were issued to individuals and 2 to </w:t>
      </w:r>
      <w:r w:rsidR="00BB64D9" w:rsidRPr="00E33E20">
        <w:rPr>
          <w:rFonts w:ascii="Arial" w:eastAsia="Aptos" w:hAnsi="Arial" w:cs="Arial"/>
          <w:sz w:val="24"/>
          <w:szCs w:val="24"/>
          <w:lang w:val="en-US"/>
        </w:rPr>
        <w:t>organizations</w:t>
      </w:r>
      <w:r w:rsidRPr="00E33E20">
        <w:rPr>
          <w:rFonts w:ascii="Arial" w:eastAsia="Aptos" w:hAnsi="Arial" w:cs="Arial"/>
          <w:sz w:val="24"/>
          <w:szCs w:val="24"/>
          <w:lang w:val="en-US"/>
        </w:rPr>
        <w:t xml:space="preserve">. Compared to previous years, 2024 saw fewer levies (vs 390 in 2022 and 380 in 2023) but at an increased value (vs 73 euros on average in 2022 and 104 in 2023). The increase in the levies is a practical necessity – according to the 2024 report, compliance with notices given by the Board was only 15,4% (however, up from 6% in 2022 and 7,5% in 2023). When issuing </w:t>
      </w:r>
      <w:proofErr w:type="gramStart"/>
      <w:r w:rsidRPr="00E33E20">
        <w:rPr>
          <w:rFonts w:ascii="Arial" w:eastAsia="Aptos" w:hAnsi="Arial" w:cs="Arial"/>
          <w:sz w:val="24"/>
          <w:szCs w:val="24"/>
          <w:lang w:val="en-US"/>
        </w:rPr>
        <w:t>a compliance</w:t>
      </w:r>
      <w:proofErr w:type="gramEnd"/>
      <w:r w:rsidRPr="00E33E20">
        <w:rPr>
          <w:rFonts w:ascii="Arial" w:eastAsia="Aptos" w:hAnsi="Arial" w:cs="Arial"/>
          <w:sz w:val="24"/>
          <w:szCs w:val="24"/>
          <w:lang w:val="en-US"/>
        </w:rPr>
        <w:t xml:space="preserve"> notice, the Board takes into consideration the time needed to reach the required language level (following § 28 (3) of the Language Act). Employees can make use of various opportunities to learn Estonian and, when ready, can take the Estonian examination free of charge (</w:t>
      </w:r>
      <w:r w:rsidR="00BB64D9" w:rsidRPr="00E33E20">
        <w:rPr>
          <w:rFonts w:ascii="Arial" w:eastAsia="Aptos" w:hAnsi="Arial" w:cs="Arial"/>
          <w:sz w:val="24"/>
          <w:szCs w:val="24"/>
          <w:lang w:val="en-US"/>
        </w:rPr>
        <w:t>organized</w:t>
      </w:r>
      <w:r w:rsidRPr="00E33E20">
        <w:rPr>
          <w:rFonts w:ascii="Arial" w:eastAsia="Aptos" w:hAnsi="Arial" w:cs="Arial"/>
          <w:sz w:val="24"/>
          <w:szCs w:val="24"/>
          <w:lang w:val="en-US"/>
        </w:rPr>
        <w:t xml:space="preserve"> four times a year at all relevant levels). Support for language learning is available through free-of-charge courses (offered by different </w:t>
      </w:r>
      <w:r w:rsidR="00BB64D9" w:rsidRPr="00E33E20">
        <w:rPr>
          <w:rFonts w:ascii="Arial" w:eastAsia="Aptos" w:hAnsi="Arial" w:cs="Arial"/>
          <w:sz w:val="24"/>
          <w:szCs w:val="24"/>
          <w:lang w:val="en-US"/>
        </w:rPr>
        <w:t>organizations</w:t>
      </w:r>
      <w:r w:rsidRPr="00E33E20">
        <w:rPr>
          <w:rFonts w:ascii="Arial" w:eastAsia="Aptos" w:hAnsi="Arial" w:cs="Arial"/>
          <w:sz w:val="24"/>
          <w:szCs w:val="24"/>
          <w:lang w:val="en-US"/>
        </w:rPr>
        <w:t>) and through courses offered by language schools. If there are expenses related to learning the language to comply with a Language Board notice, the Education and Youth Board can refund the costs following the successful completion of the exam.</w:t>
      </w:r>
    </w:p>
    <w:p w14:paraId="05F4763A" w14:textId="77777777" w:rsidR="00BB64D9" w:rsidRPr="00E33E20" w:rsidRDefault="00BB64D9" w:rsidP="009174FD">
      <w:pPr>
        <w:spacing w:after="0" w:line="240" w:lineRule="auto"/>
        <w:jc w:val="both"/>
        <w:rPr>
          <w:rFonts w:ascii="Arial" w:eastAsia="Aptos" w:hAnsi="Arial" w:cs="Arial"/>
          <w:sz w:val="24"/>
          <w:szCs w:val="24"/>
          <w:lang w:val="en-US"/>
        </w:rPr>
      </w:pPr>
    </w:p>
    <w:p w14:paraId="5F2BF5F5" w14:textId="77777777" w:rsidR="00B0215B" w:rsidRPr="00E33E20" w:rsidRDefault="00B0215B"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For school-age refugees, there is a benefit designed to support their learning of Estonian (600 euros per month per student; in 2025 the total amounted to approximately 3 million euros). The purpose of this benefit is to support the organization of additional Estonian language learning instruction and Estonian-language extracurricular activities.</w:t>
      </w:r>
    </w:p>
    <w:p w14:paraId="500A4F53" w14:textId="77777777" w:rsidR="00BB64D9" w:rsidRPr="00E33E20" w:rsidRDefault="00BB64D9" w:rsidP="009174FD">
      <w:pPr>
        <w:spacing w:after="0" w:line="240" w:lineRule="auto"/>
        <w:jc w:val="both"/>
        <w:rPr>
          <w:rFonts w:ascii="Arial" w:hAnsi="Arial" w:cs="Arial"/>
          <w:sz w:val="24"/>
          <w:szCs w:val="24"/>
          <w:lang w:val="en-US"/>
        </w:rPr>
      </w:pPr>
    </w:p>
    <w:p w14:paraId="3487AE9E" w14:textId="77777777" w:rsidR="00B0215B" w:rsidRPr="00E33E20" w:rsidRDefault="00B0215B"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School-age refugees arriving to Estonia are provided with opportunities to continue their education. The aim is to integrate children into the local education system. To support this, students are offered the opportunity to study in schools where Estonian is the language of instruction. To help refugees adapt, schools can draw up an individual curriculum for the refugees that provides conditions supporting learning and development based on the student's abilities, prior knowledge, and background.</w:t>
      </w:r>
    </w:p>
    <w:p w14:paraId="1B529A8D" w14:textId="77777777" w:rsidR="00BB64D9" w:rsidRPr="00E33E20" w:rsidRDefault="00BB64D9" w:rsidP="009174FD">
      <w:pPr>
        <w:spacing w:after="0" w:line="240" w:lineRule="auto"/>
        <w:jc w:val="both"/>
        <w:rPr>
          <w:rFonts w:ascii="Arial" w:hAnsi="Arial" w:cs="Arial"/>
          <w:sz w:val="24"/>
          <w:szCs w:val="24"/>
          <w:lang w:val="en-US"/>
        </w:rPr>
      </w:pPr>
    </w:p>
    <w:p w14:paraId="4AA3AAA6" w14:textId="4AFFC1E7" w:rsidR="00197BAA" w:rsidRPr="00E33E20" w:rsidRDefault="00B0215B"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 xml:space="preserve">The right to preserve and learn mother tongue at least two hours per week is guaranteed with legal regulation and additional funding. Mother tongue lessons can take place at pre-school and basic education level </w:t>
      </w:r>
      <w:proofErr w:type="gramStart"/>
      <w:r w:rsidRPr="00E33E20">
        <w:rPr>
          <w:rFonts w:ascii="Arial" w:hAnsi="Arial" w:cs="Arial"/>
          <w:sz w:val="24"/>
          <w:szCs w:val="24"/>
          <w:lang w:val="en-US"/>
        </w:rPr>
        <w:t>and also</w:t>
      </w:r>
      <w:proofErr w:type="gramEnd"/>
      <w:r w:rsidRPr="00E33E20">
        <w:rPr>
          <w:rFonts w:ascii="Arial" w:hAnsi="Arial" w:cs="Arial"/>
          <w:sz w:val="24"/>
          <w:szCs w:val="24"/>
          <w:lang w:val="en-US"/>
        </w:rPr>
        <w:t xml:space="preserve"> in hobby schools.</w:t>
      </w:r>
    </w:p>
    <w:p w14:paraId="3CD322FF" w14:textId="77777777" w:rsidR="00197BAA" w:rsidRPr="00E33E20" w:rsidRDefault="00197BAA" w:rsidP="009174FD">
      <w:pPr>
        <w:autoSpaceDE w:val="0"/>
        <w:autoSpaceDN w:val="0"/>
        <w:adjustRightInd w:val="0"/>
        <w:spacing w:after="0" w:line="240" w:lineRule="auto"/>
        <w:jc w:val="both"/>
        <w:rPr>
          <w:rFonts w:ascii="Arial" w:hAnsi="Arial" w:cs="Arial"/>
          <w:b/>
          <w:sz w:val="24"/>
          <w:szCs w:val="24"/>
          <w:lang w:val="en-US"/>
        </w:rPr>
      </w:pPr>
    </w:p>
    <w:p w14:paraId="529F9C6E" w14:textId="3487123B" w:rsidR="00EA6713" w:rsidRPr="00E33E20" w:rsidRDefault="00EA6713" w:rsidP="009174FD">
      <w:pPr>
        <w:autoSpaceDE w:val="0"/>
        <w:autoSpaceDN w:val="0"/>
        <w:adjustRightInd w:val="0"/>
        <w:spacing w:after="0" w:line="240" w:lineRule="auto"/>
        <w:jc w:val="both"/>
        <w:rPr>
          <w:rFonts w:ascii="Arial" w:hAnsi="Arial" w:cs="Arial"/>
          <w:b/>
          <w:sz w:val="24"/>
          <w:szCs w:val="24"/>
          <w:lang w:val="en-US"/>
        </w:rPr>
      </w:pPr>
      <w:r w:rsidRPr="00E33E20">
        <w:rPr>
          <w:rFonts w:ascii="Arial" w:hAnsi="Arial" w:cs="Arial"/>
          <w:b/>
          <w:sz w:val="24"/>
          <w:szCs w:val="24"/>
          <w:lang w:val="en-US"/>
        </w:rPr>
        <w:t>Equal treatment of Roma people</w:t>
      </w:r>
    </w:p>
    <w:p w14:paraId="5A08A91E" w14:textId="77777777" w:rsidR="00EA6713" w:rsidRPr="00E33E20" w:rsidRDefault="00EA6713" w:rsidP="009174FD">
      <w:pPr>
        <w:autoSpaceDE w:val="0"/>
        <w:autoSpaceDN w:val="0"/>
        <w:adjustRightInd w:val="0"/>
        <w:spacing w:after="0" w:line="240" w:lineRule="auto"/>
        <w:jc w:val="both"/>
        <w:rPr>
          <w:rFonts w:ascii="Arial" w:hAnsi="Arial" w:cs="Arial"/>
          <w:b/>
          <w:sz w:val="24"/>
          <w:szCs w:val="24"/>
          <w:lang w:val="en-US"/>
        </w:rPr>
      </w:pPr>
    </w:p>
    <w:p w14:paraId="5A89F064" w14:textId="77777777" w:rsidR="00FE6E3A" w:rsidRPr="00E33E20" w:rsidRDefault="00FE6E3A"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 xml:space="preserve">Since the Roma community in Estonia is very small compared to other European Union member states (according to the 2021 Census, 676 Roma live in Estonia), they are considered a target group in the national integration policy </w:t>
      </w:r>
      <w:r w:rsidRPr="00E33E20">
        <w:rPr>
          <w:rFonts w:ascii="Arial" w:hAnsi="Arial" w:cs="Arial"/>
          <w:i/>
          <w:iCs/>
          <w:sz w:val="24"/>
          <w:szCs w:val="24"/>
          <w:lang w:val="en-US"/>
        </w:rPr>
        <w:t>Cohesive Estonia 2030</w:t>
      </w:r>
      <w:r w:rsidRPr="00E33E20">
        <w:rPr>
          <w:rFonts w:ascii="Arial" w:hAnsi="Arial" w:cs="Arial"/>
          <w:sz w:val="24"/>
          <w:szCs w:val="24"/>
          <w:lang w:val="en-US"/>
        </w:rPr>
        <w:t xml:space="preserve">. The largest number of Roma live in Valga Municipality (196), followed by Tartu (55), Tallinn (45), Narva (45), and </w:t>
      </w:r>
      <w:proofErr w:type="spellStart"/>
      <w:r w:rsidRPr="00E33E20">
        <w:rPr>
          <w:rFonts w:ascii="Arial" w:hAnsi="Arial" w:cs="Arial"/>
          <w:sz w:val="24"/>
          <w:szCs w:val="24"/>
          <w:lang w:val="en-US"/>
        </w:rPr>
        <w:t>Pärnu</w:t>
      </w:r>
      <w:proofErr w:type="spellEnd"/>
      <w:r w:rsidRPr="00E33E20">
        <w:rPr>
          <w:rFonts w:ascii="Arial" w:hAnsi="Arial" w:cs="Arial"/>
          <w:sz w:val="24"/>
          <w:szCs w:val="24"/>
          <w:lang w:val="en-US"/>
        </w:rPr>
        <w:t xml:space="preserve"> (45), according to the Population Register (as of 01.01.2024).</w:t>
      </w:r>
    </w:p>
    <w:p w14:paraId="3B4C3D6A" w14:textId="77777777" w:rsidR="00BB64D9" w:rsidRPr="00E33E20" w:rsidRDefault="00BB64D9" w:rsidP="009174FD">
      <w:pPr>
        <w:spacing w:after="0" w:line="240" w:lineRule="auto"/>
        <w:jc w:val="both"/>
        <w:rPr>
          <w:rFonts w:ascii="Arial" w:hAnsi="Arial" w:cs="Arial"/>
          <w:sz w:val="24"/>
          <w:szCs w:val="24"/>
          <w:lang w:val="en-US"/>
        </w:rPr>
      </w:pPr>
    </w:p>
    <w:p w14:paraId="78D8002B" w14:textId="77777777" w:rsidR="00FE6E3A" w:rsidRPr="00E33E20" w:rsidRDefault="00FE6E3A" w:rsidP="009174FD">
      <w:pPr>
        <w:tabs>
          <w:tab w:val="left" w:pos="720"/>
        </w:tabs>
        <w:spacing w:after="0" w:line="240" w:lineRule="auto"/>
        <w:jc w:val="both"/>
        <w:rPr>
          <w:rFonts w:ascii="Arial" w:hAnsi="Arial" w:cs="Arial"/>
          <w:sz w:val="24"/>
          <w:szCs w:val="24"/>
          <w:lang w:val="en-US"/>
        </w:rPr>
      </w:pPr>
      <w:r w:rsidRPr="00E33E20">
        <w:rPr>
          <w:rFonts w:ascii="Arial" w:hAnsi="Arial" w:cs="Arial"/>
          <w:sz w:val="24"/>
          <w:szCs w:val="24"/>
          <w:lang w:val="en-US"/>
        </w:rPr>
        <w:t xml:space="preserve">Estonia has incorporated measures to combat racism and racial discrimination into broader national action plans and strategies, including: the </w:t>
      </w:r>
      <w:r w:rsidRPr="00E33E20">
        <w:rPr>
          <w:rFonts w:ascii="Arial" w:hAnsi="Arial" w:cs="Arial"/>
          <w:i/>
          <w:iCs/>
          <w:sz w:val="24"/>
          <w:szCs w:val="24"/>
          <w:lang w:val="en-US"/>
        </w:rPr>
        <w:t>Welfare Development Plan 2023-2030</w:t>
      </w:r>
      <w:r w:rsidRPr="00E33E20">
        <w:rPr>
          <w:rFonts w:ascii="Arial" w:hAnsi="Arial" w:cs="Arial"/>
          <w:sz w:val="24"/>
          <w:szCs w:val="24"/>
          <w:lang w:val="en-US"/>
        </w:rPr>
        <w:t xml:space="preserve"> (general equality policy and governance), the </w:t>
      </w:r>
      <w:r w:rsidRPr="00E33E20">
        <w:rPr>
          <w:rFonts w:ascii="Arial" w:hAnsi="Arial" w:cs="Arial"/>
          <w:i/>
          <w:iCs/>
          <w:sz w:val="24"/>
          <w:szCs w:val="24"/>
          <w:lang w:val="en-US"/>
        </w:rPr>
        <w:t>Culture Development Plan 2021-2030</w:t>
      </w:r>
      <w:r w:rsidRPr="00E33E20">
        <w:rPr>
          <w:rFonts w:ascii="Arial" w:hAnsi="Arial" w:cs="Arial"/>
          <w:sz w:val="24"/>
          <w:szCs w:val="24"/>
          <w:lang w:val="en-US"/>
        </w:rPr>
        <w:t xml:space="preserve"> (cultural diversity and equal access to culture), the </w:t>
      </w:r>
      <w:r w:rsidRPr="00E33E20">
        <w:rPr>
          <w:rFonts w:ascii="Arial" w:hAnsi="Arial" w:cs="Arial"/>
          <w:i/>
          <w:iCs/>
          <w:sz w:val="24"/>
          <w:szCs w:val="24"/>
          <w:lang w:val="en-US"/>
        </w:rPr>
        <w:t>Cohesive Estonia Development Plan 2021-2030</w:t>
      </w:r>
      <w:r w:rsidRPr="00E33E20">
        <w:rPr>
          <w:rFonts w:ascii="Arial" w:hAnsi="Arial" w:cs="Arial"/>
          <w:sz w:val="24"/>
          <w:szCs w:val="24"/>
          <w:lang w:val="en-US"/>
        </w:rPr>
        <w:t xml:space="preserve"> (interethnic understanding, social cohesion, integration, and reducing socio-economic disparities based on ethnicity and language), the </w:t>
      </w:r>
      <w:r w:rsidRPr="00E33E20">
        <w:rPr>
          <w:rFonts w:ascii="Arial" w:hAnsi="Arial" w:cs="Arial"/>
          <w:i/>
          <w:iCs/>
          <w:sz w:val="24"/>
          <w:szCs w:val="24"/>
          <w:lang w:val="en-US"/>
        </w:rPr>
        <w:t>Internal Security Development Plan -2030</w:t>
      </w:r>
      <w:r w:rsidRPr="00E33E20">
        <w:rPr>
          <w:rFonts w:ascii="Arial" w:hAnsi="Arial" w:cs="Arial"/>
          <w:sz w:val="24"/>
          <w:szCs w:val="24"/>
          <w:lang w:val="en-US"/>
        </w:rPr>
        <w:t xml:space="preserve"> (national security, violence and terrorism prevention, migration and asylum policy), and the </w:t>
      </w:r>
      <w:r w:rsidRPr="00E33E20">
        <w:rPr>
          <w:rFonts w:ascii="Arial" w:hAnsi="Arial" w:cs="Arial"/>
          <w:i/>
          <w:iCs/>
          <w:sz w:val="24"/>
          <w:szCs w:val="24"/>
          <w:lang w:val="en-US"/>
        </w:rPr>
        <w:t>Education Development Plan 20212035</w:t>
      </w:r>
      <w:r w:rsidRPr="00E33E20">
        <w:rPr>
          <w:rFonts w:ascii="Arial" w:hAnsi="Arial" w:cs="Arial"/>
          <w:sz w:val="24"/>
          <w:szCs w:val="24"/>
          <w:lang w:val="en-US"/>
        </w:rPr>
        <w:t xml:space="preserve"> (developing a shared cultural and value space). The Ministry of Economic Affairs and Communications is </w:t>
      </w:r>
      <w:proofErr w:type="spellStart"/>
      <w:r w:rsidRPr="00E33E20">
        <w:rPr>
          <w:rFonts w:ascii="Arial" w:hAnsi="Arial" w:cs="Arial"/>
          <w:sz w:val="24"/>
          <w:szCs w:val="24"/>
          <w:lang w:val="en-US"/>
        </w:rPr>
        <w:t>co-ordinating</w:t>
      </w:r>
      <w:proofErr w:type="spellEnd"/>
      <w:r w:rsidRPr="00E33E20">
        <w:rPr>
          <w:rFonts w:ascii="Arial" w:hAnsi="Arial" w:cs="Arial"/>
          <w:sz w:val="24"/>
          <w:szCs w:val="24"/>
          <w:lang w:val="en-US"/>
        </w:rPr>
        <w:t xml:space="preserve"> the exchange of information and awareness raising activities among policymakers from different ministries.</w:t>
      </w:r>
    </w:p>
    <w:p w14:paraId="13C1B439" w14:textId="77777777" w:rsidR="00BB64D9" w:rsidRPr="00E33E20" w:rsidRDefault="00BB64D9" w:rsidP="009174FD">
      <w:pPr>
        <w:tabs>
          <w:tab w:val="left" w:pos="720"/>
        </w:tabs>
        <w:spacing w:after="0" w:line="240" w:lineRule="auto"/>
        <w:jc w:val="both"/>
        <w:rPr>
          <w:rFonts w:ascii="Arial" w:hAnsi="Arial" w:cs="Arial"/>
          <w:sz w:val="24"/>
          <w:szCs w:val="24"/>
          <w:lang w:val="en-US"/>
        </w:rPr>
      </w:pPr>
    </w:p>
    <w:p w14:paraId="118B7BA4" w14:textId="77777777" w:rsidR="00FE6E3A" w:rsidRPr="00E33E20" w:rsidRDefault="00FE6E3A"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The Estonian government places strong emphasis on supporting municipal and local-level initiatives. Since 2020, this includes the development of mentoring services for Roma people. The aim is to support Roma individuals in socioeconomically vulnerable situations and to strengthen Roma civil society organizations. Roma mentors help facilitate cooperation between Roma families, local governments, and public institutions. As of 2025, two Roma mentors are working in Valga, South Estonia. Their target group includes Roma families whose official residence is in Valga Municipality (home to one-third of Estonia's Roma population), as well as Roma youth needing support to complete compulsory education.</w:t>
      </w:r>
    </w:p>
    <w:p w14:paraId="6A10B5B6" w14:textId="77777777" w:rsidR="00BB64D9" w:rsidRPr="00E33E20" w:rsidRDefault="00BB64D9" w:rsidP="009174FD">
      <w:pPr>
        <w:spacing w:after="0" w:line="240" w:lineRule="auto"/>
        <w:jc w:val="both"/>
        <w:rPr>
          <w:rFonts w:ascii="Arial" w:hAnsi="Arial" w:cs="Arial"/>
          <w:sz w:val="24"/>
          <w:szCs w:val="24"/>
          <w:lang w:val="en-US"/>
        </w:rPr>
      </w:pPr>
    </w:p>
    <w:p w14:paraId="2F130C89" w14:textId="77777777" w:rsidR="00FE6E3A" w:rsidRPr="00E33E20" w:rsidRDefault="00FE6E3A" w:rsidP="009174FD">
      <w:pPr>
        <w:tabs>
          <w:tab w:val="left" w:pos="720"/>
        </w:tabs>
        <w:spacing w:after="0" w:line="240" w:lineRule="auto"/>
        <w:jc w:val="both"/>
        <w:rPr>
          <w:rFonts w:ascii="Arial" w:hAnsi="Arial" w:cs="Arial"/>
          <w:sz w:val="24"/>
          <w:szCs w:val="24"/>
          <w:lang w:val="en-US"/>
        </w:rPr>
      </w:pPr>
      <w:r w:rsidRPr="00E33E20">
        <w:rPr>
          <w:rFonts w:ascii="Arial" w:hAnsi="Arial" w:cs="Arial"/>
          <w:sz w:val="24"/>
          <w:szCs w:val="24"/>
          <w:lang w:val="en-US"/>
        </w:rPr>
        <w:t xml:space="preserve">The mentoring service </w:t>
      </w:r>
      <w:proofErr w:type="gramStart"/>
      <w:r w:rsidRPr="00E33E20">
        <w:rPr>
          <w:rFonts w:ascii="Arial" w:hAnsi="Arial" w:cs="Arial"/>
          <w:sz w:val="24"/>
          <w:szCs w:val="24"/>
          <w:lang w:val="en-US"/>
        </w:rPr>
        <w:t>provides:</w:t>
      </w:r>
      <w:proofErr w:type="gramEnd"/>
      <w:r w:rsidRPr="00E33E20">
        <w:rPr>
          <w:rFonts w:ascii="Arial" w:hAnsi="Arial" w:cs="Arial"/>
          <w:sz w:val="24"/>
          <w:szCs w:val="24"/>
          <w:lang w:val="en-US"/>
        </w:rPr>
        <w:t xml:space="preserve"> educational support for Roma children and youth, collaboration with parents and schools, events aimed at strengthening the national identity of Roma youth in Valga, activities to support adaptation and integration, overall improvement of the socio-economic well-being of the Roma community.</w:t>
      </w:r>
    </w:p>
    <w:p w14:paraId="15DBA025" w14:textId="77777777" w:rsidR="00BB64D9" w:rsidRPr="00E33E20" w:rsidRDefault="00BB64D9" w:rsidP="009174FD">
      <w:pPr>
        <w:tabs>
          <w:tab w:val="left" w:pos="720"/>
        </w:tabs>
        <w:spacing w:after="0" w:line="240" w:lineRule="auto"/>
        <w:jc w:val="both"/>
        <w:rPr>
          <w:rFonts w:ascii="Arial" w:hAnsi="Arial" w:cs="Arial"/>
          <w:sz w:val="24"/>
          <w:szCs w:val="24"/>
          <w:lang w:val="en-US"/>
        </w:rPr>
      </w:pPr>
    </w:p>
    <w:p w14:paraId="53FFB5C4" w14:textId="13ED1013" w:rsidR="00BB64D9" w:rsidRPr="00E33E20" w:rsidRDefault="00FE6E3A"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 xml:space="preserve">Mentoring services also include counselling for both Roma families and local authorities (the latter on Roma cultural practices and community-specific issues). Mentors organize various activities for the children such as educational field trips to museums and visitor </w:t>
      </w:r>
      <w:proofErr w:type="spellStart"/>
      <w:r w:rsidRPr="00E33E20">
        <w:rPr>
          <w:rFonts w:ascii="Arial" w:hAnsi="Arial" w:cs="Arial"/>
          <w:sz w:val="24"/>
          <w:szCs w:val="24"/>
          <w:lang w:val="en-US"/>
        </w:rPr>
        <w:t>centres</w:t>
      </w:r>
      <w:proofErr w:type="spellEnd"/>
      <w:r w:rsidRPr="00E33E20">
        <w:rPr>
          <w:rFonts w:ascii="Arial" w:hAnsi="Arial" w:cs="Arial"/>
          <w:sz w:val="24"/>
          <w:szCs w:val="24"/>
          <w:lang w:val="en-US"/>
        </w:rPr>
        <w:t xml:space="preserve"> across Estonia, practical workshops etc. Authentic Roma dance classes for girls have become particularly popular. Mentors also assist newly arrived Roma families in adapting to the area – helping them find family doctors, kindergartens or schools, obtain necessary documents, and access humanitarian aid when needed. Throughout the school year, mentors offer weekly Estonian language classes and Roma dance and vocal training, helping reduce barriers to education and promote inclusion.</w:t>
      </w:r>
    </w:p>
    <w:p w14:paraId="2EAC10BB" w14:textId="77777777" w:rsidR="00BB64D9" w:rsidRPr="00E33E20" w:rsidRDefault="00BB64D9" w:rsidP="009174FD">
      <w:pPr>
        <w:spacing w:after="0" w:line="240" w:lineRule="auto"/>
        <w:jc w:val="both"/>
        <w:rPr>
          <w:rFonts w:ascii="Arial" w:hAnsi="Arial" w:cs="Arial"/>
          <w:sz w:val="24"/>
          <w:szCs w:val="24"/>
          <w:lang w:val="en-US"/>
        </w:rPr>
      </w:pPr>
    </w:p>
    <w:p w14:paraId="60562B10" w14:textId="77777777" w:rsidR="00FE6E3A" w:rsidRPr="00E33E20" w:rsidRDefault="00FE6E3A"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 xml:space="preserve">An authentic Roma dance group, </w:t>
      </w:r>
      <w:r w:rsidRPr="00E33E20">
        <w:rPr>
          <w:rFonts w:ascii="Arial" w:hAnsi="Arial" w:cs="Arial"/>
          <w:i/>
          <w:iCs/>
          <w:sz w:val="24"/>
          <w:szCs w:val="24"/>
          <w:lang w:val="en-US"/>
        </w:rPr>
        <w:t>Shukar Roma</w:t>
      </w:r>
      <w:r w:rsidRPr="00E33E20">
        <w:rPr>
          <w:rFonts w:ascii="Arial" w:hAnsi="Arial" w:cs="Arial"/>
          <w:sz w:val="24"/>
          <w:szCs w:val="24"/>
          <w:lang w:val="en-US"/>
        </w:rPr>
        <w:t xml:space="preserve">, has emerged from these </w:t>
      </w:r>
      <w:proofErr w:type="gramStart"/>
      <w:r w:rsidRPr="00E33E20">
        <w:rPr>
          <w:rFonts w:ascii="Arial" w:hAnsi="Arial" w:cs="Arial"/>
          <w:sz w:val="24"/>
          <w:szCs w:val="24"/>
          <w:lang w:val="en-US"/>
        </w:rPr>
        <w:t>trainings</w:t>
      </w:r>
      <w:proofErr w:type="gramEnd"/>
      <w:r w:rsidRPr="00E33E20">
        <w:rPr>
          <w:rFonts w:ascii="Arial" w:hAnsi="Arial" w:cs="Arial"/>
          <w:sz w:val="24"/>
          <w:szCs w:val="24"/>
          <w:lang w:val="en-US"/>
        </w:rPr>
        <w:t>. The group has gained national and regional recognition and is invited to perform in Estonia and other Baltic countries.</w:t>
      </w:r>
    </w:p>
    <w:p w14:paraId="59919A5D" w14:textId="77777777" w:rsidR="00BB64D9" w:rsidRPr="00E33E20" w:rsidRDefault="00BB64D9" w:rsidP="009174FD">
      <w:pPr>
        <w:spacing w:after="0" w:line="240" w:lineRule="auto"/>
        <w:jc w:val="both"/>
        <w:rPr>
          <w:rFonts w:ascii="Arial" w:hAnsi="Arial" w:cs="Arial"/>
          <w:sz w:val="24"/>
          <w:szCs w:val="24"/>
          <w:lang w:val="en-US"/>
        </w:rPr>
      </w:pPr>
    </w:p>
    <w:p w14:paraId="64BEF6B4" w14:textId="77777777" w:rsidR="00FE6E3A" w:rsidRPr="00E33E20" w:rsidRDefault="00FE6E3A"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A Roma "Youth Center" has also been established in Valga, integrated with the local mentoring service. According to Valga Municipality, school attendance among young Roma participants has improved. Special efforts are made to prevent school dropouts in the critical 7th–8th grades. Mentors work individually with children in need, providing regular follow-up support twice a week.</w:t>
      </w:r>
    </w:p>
    <w:p w14:paraId="28FE352A" w14:textId="77777777" w:rsidR="00BB64D9" w:rsidRPr="00E33E20" w:rsidRDefault="00BB64D9" w:rsidP="009174FD">
      <w:pPr>
        <w:spacing w:after="0" w:line="240" w:lineRule="auto"/>
        <w:jc w:val="both"/>
        <w:rPr>
          <w:rFonts w:ascii="Arial" w:hAnsi="Arial" w:cs="Arial"/>
          <w:sz w:val="24"/>
          <w:szCs w:val="24"/>
          <w:lang w:val="en-US"/>
        </w:rPr>
      </w:pPr>
    </w:p>
    <w:p w14:paraId="0D0B34D4" w14:textId="77777777" w:rsidR="00FE6E3A" w:rsidRPr="00E33E20" w:rsidRDefault="00FE6E3A"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 xml:space="preserve">As a direct result of these mentoring activities, a non-profit organization (NGO) was established by young Roma community members in Valga in 2024. The NGO promotes Roma culture, organizes events and training, and supports the </w:t>
      </w:r>
      <w:r w:rsidRPr="00E33E20">
        <w:rPr>
          <w:rFonts w:ascii="Arial" w:hAnsi="Arial" w:cs="Arial"/>
          <w:i/>
          <w:iCs/>
          <w:sz w:val="24"/>
          <w:szCs w:val="24"/>
          <w:lang w:val="en-US"/>
        </w:rPr>
        <w:t>Shukar Roma</w:t>
      </w:r>
      <w:r w:rsidRPr="00E33E20">
        <w:rPr>
          <w:rFonts w:ascii="Arial" w:hAnsi="Arial" w:cs="Arial"/>
          <w:sz w:val="24"/>
          <w:szCs w:val="24"/>
          <w:lang w:val="en-US"/>
        </w:rPr>
        <w:t xml:space="preserve"> dance group.</w:t>
      </w:r>
    </w:p>
    <w:p w14:paraId="269035E8" w14:textId="77777777" w:rsidR="00BB64D9" w:rsidRPr="00E33E20" w:rsidRDefault="00BB64D9" w:rsidP="009174FD">
      <w:pPr>
        <w:spacing w:after="0" w:line="240" w:lineRule="auto"/>
        <w:jc w:val="both"/>
        <w:rPr>
          <w:rFonts w:ascii="Arial" w:hAnsi="Arial" w:cs="Arial"/>
          <w:sz w:val="24"/>
          <w:szCs w:val="24"/>
          <w:lang w:val="en-US"/>
        </w:rPr>
      </w:pPr>
    </w:p>
    <w:p w14:paraId="01F66FE7" w14:textId="77777777" w:rsidR="00FE6E3A" w:rsidRPr="00E33E20" w:rsidRDefault="00FE6E3A"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The mentoring service is coordinated by the Integration Foundation and funded by the Ministry of Culture and the Ministry of Education and Research.</w:t>
      </w:r>
    </w:p>
    <w:p w14:paraId="518A7E07" w14:textId="77777777" w:rsidR="000A25F4" w:rsidRPr="00E33E20" w:rsidRDefault="000A25F4" w:rsidP="009174FD">
      <w:pPr>
        <w:spacing w:after="0" w:line="240" w:lineRule="auto"/>
        <w:jc w:val="both"/>
        <w:rPr>
          <w:rFonts w:ascii="Arial" w:hAnsi="Arial" w:cs="Arial"/>
          <w:b/>
          <w:bCs/>
          <w:sz w:val="24"/>
          <w:szCs w:val="24"/>
          <w:lang w:val="en-US"/>
        </w:rPr>
      </w:pPr>
    </w:p>
    <w:p w14:paraId="4BCB537D" w14:textId="320A55CE" w:rsidR="00FE6E3A" w:rsidRPr="00E33E20" w:rsidRDefault="00FE6E3A" w:rsidP="009174FD">
      <w:pPr>
        <w:spacing w:after="0" w:line="240" w:lineRule="auto"/>
        <w:jc w:val="both"/>
        <w:rPr>
          <w:rFonts w:ascii="Arial" w:hAnsi="Arial" w:cs="Arial"/>
          <w:b/>
          <w:bCs/>
          <w:sz w:val="24"/>
          <w:szCs w:val="24"/>
          <w:lang w:val="en-US"/>
        </w:rPr>
      </w:pPr>
      <w:r w:rsidRPr="00E33E20">
        <w:rPr>
          <w:rFonts w:ascii="Arial" w:hAnsi="Arial" w:cs="Arial"/>
          <w:b/>
          <w:bCs/>
          <w:sz w:val="24"/>
          <w:szCs w:val="24"/>
          <w:lang w:val="en-US"/>
        </w:rPr>
        <w:t>Trainings for Young Roma and Roma Women</w:t>
      </w:r>
    </w:p>
    <w:p w14:paraId="52AE8227" w14:textId="77777777" w:rsidR="00BB64D9" w:rsidRPr="00E33E20" w:rsidRDefault="00BB64D9" w:rsidP="009174FD">
      <w:pPr>
        <w:tabs>
          <w:tab w:val="left" w:pos="720"/>
        </w:tabs>
        <w:spacing w:after="0" w:line="240" w:lineRule="auto"/>
        <w:jc w:val="both"/>
        <w:rPr>
          <w:rFonts w:ascii="Arial" w:hAnsi="Arial" w:cs="Arial"/>
          <w:sz w:val="24"/>
          <w:szCs w:val="24"/>
          <w:lang w:val="en-US"/>
        </w:rPr>
      </w:pPr>
    </w:p>
    <w:p w14:paraId="524EB594" w14:textId="0570C7D2" w:rsidR="00FE6E3A" w:rsidRPr="00E33E20" w:rsidRDefault="00FE6E3A" w:rsidP="009174FD">
      <w:pPr>
        <w:tabs>
          <w:tab w:val="left" w:pos="720"/>
        </w:tabs>
        <w:spacing w:after="0" w:line="240" w:lineRule="auto"/>
        <w:jc w:val="both"/>
        <w:rPr>
          <w:rFonts w:ascii="Arial" w:hAnsi="Arial" w:cs="Arial"/>
          <w:sz w:val="24"/>
          <w:szCs w:val="24"/>
          <w:lang w:val="en-US"/>
        </w:rPr>
      </w:pPr>
      <w:r w:rsidRPr="00E33E20">
        <w:rPr>
          <w:rFonts w:ascii="Arial" w:hAnsi="Arial" w:cs="Arial"/>
          <w:sz w:val="24"/>
          <w:szCs w:val="24"/>
          <w:lang w:val="en-US"/>
        </w:rPr>
        <w:t>Between 2017 and 2023, the Ministry of Culture, with support from the European Commission, implemented a series of projects (ESTROM 1-3) aimed at supporting the integration of the Roma community. The objective was to foster cooperation between integration stakeholders, the Roma community, local governments, and state institutions. The activities included: trainings for Roma youth and young Roma activists, trainings for teachers working with Roma children, seminars for Roma women, an online survey for educators working with Roma children, and organization of Roma Culture Festivals (ROMFEST).</w:t>
      </w:r>
    </w:p>
    <w:p w14:paraId="78896024" w14:textId="77777777" w:rsidR="00BB64D9" w:rsidRPr="00E33E20" w:rsidRDefault="00BB64D9" w:rsidP="009174FD">
      <w:pPr>
        <w:tabs>
          <w:tab w:val="left" w:pos="720"/>
        </w:tabs>
        <w:spacing w:after="0" w:line="240" w:lineRule="auto"/>
        <w:jc w:val="both"/>
        <w:rPr>
          <w:rFonts w:ascii="Arial" w:hAnsi="Arial" w:cs="Arial"/>
          <w:sz w:val="24"/>
          <w:szCs w:val="24"/>
          <w:lang w:val="en-US"/>
        </w:rPr>
      </w:pPr>
    </w:p>
    <w:p w14:paraId="3098E06F" w14:textId="77777777" w:rsidR="00FE6E3A" w:rsidRPr="00E33E20" w:rsidRDefault="00FE6E3A" w:rsidP="009174FD">
      <w:pPr>
        <w:tabs>
          <w:tab w:val="left" w:pos="720"/>
        </w:tabs>
        <w:spacing w:after="0" w:line="240" w:lineRule="auto"/>
        <w:jc w:val="both"/>
        <w:rPr>
          <w:rFonts w:ascii="Arial" w:hAnsi="Arial" w:cs="Arial"/>
          <w:sz w:val="24"/>
          <w:szCs w:val="24"/>
          <w:lang w:val="en-US"/>
        </w:rPr>
      </w:pPr>
      <w:r w:rsidRPr="00E33E20">
        <w:rPr>
          <w:rFonts w:ascii="Arial" w:hAnsi="Arial" w:cs="Arial"/>
          <w:sz w:val="24"/>
          <w:szCs w:val="24"/>
          <w:lang w:val="en-US"/>
        </w:rPr>
        <w:t xml:space="preserve">As a result of the ESTROM project series cooperation and contact between integration stakeholders (Roma and public officials) significantly deepened, a network of Roma mediators (also known as mentors) operating across the Baltic countries was established, best practices were exchanged among stakeholders, teachers became better equipped to work with Roma children, young Roma and youth </w:t>
      </w:r>
      <w:proofErr w:type="spellStart"/>
      <w:r w:rsidRPr="00E33E20">
        <w:rPr>
          <w:rFonts w:ascii="Arial" w:hAnsi="Arial" w:cs="Arial"/>
          <w:sz w:val="24"/>
          <w:szCs w:val="24"/>
          <w:lang w:val="en-US"/>
        </w:rPr>
        <w:t>centre</w:t>
      </w:r>
      <w:proofErr w:type="spellEnd"/>
      <w:r w:rsidRPr="00E33E20">
        <w:rPr>
          <w:rFonts w:ascii="Arial" w:hAnsi="Arial" w:cs="Arial"/>
          <w:sz w:val="24"/>
          <w:szCs w:val="24"/>
          <w:lang w:val="en-US"/>
        </w:rPr>
        <w:t xml:space="preserve"> staff formed new connections, participation of Roma women in society was promoted, seminars for Roma women addressed the balance between maintaining Roma cultural traditions and participating in working life, awareness and understanding of Roma culture and history increased, along with a more positive public attitude toward the Roma community.</w:t>
      </w:r>
    </w:p>
    <w:p w14:paraId="5C8C00CD" w14:textId="77777777" w:rsidR="00BB64D9" w:rsidRPr="00E33E20" w:rsidRDefault="00BB64D9" w:rsidP="009174FD">
      <w:pPr>
        <w:tabs>
          <w:tab w:val="left" w:pos="720"/>
        </w:tabs>
        <w:spacing w:after="0" w:line="240" w:lineRule="auto"/>
        <w:jc w:val="both"/>
        <w:rPr>
          <w:rFonts w:ascii="Arial" w:hAnsi="Arial" w:cs="Arial"/>
          <w:sz w:val="24"/>
          <w:szCs w:val="24"/>
          <w:lang w:val="en-US"/>
        </w:rPr>
      </w:pPr>
    </w:p>
    <w:p w14:paraId="73E6CADA" w14:textId="77777777" w:rsidR="00FE6E3A" w:rsidRPr="00E33E20" w:rsidRDefault="00FE6E3A"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As a direct outcome of the three ESTROM projects, the Roma community in Estonia has become significantly more active, engaged, and open.</w:t>
      </w:r>
    </w:p>
    <w:p w14:paraId="7781F8DC" w14:textId="77777777" w:rsidR="00BB64D9" w:rsidRPr="00E33E20" w:rsidRDefault="00BB64D9" w:rsidP="009174FD">
      <w:pPr>
        <w:spacing w:after="0" w:line="240" w:lineRule="auto"/>
        <w:jc w:val="both"/>
        <w:rPr>
          <w:rFonts w:ascii="Arial" w:hAnsi="Arial" w:cs="Arial"/>
          <w:sz w:val="24"/>
          <w:szCs w:val="24"/>
          <w:lang w:val="en-US"/>
        </w:rPr>
      </w:pPr>
    </w:p>
    <w:p w14:paraId="780106CD" w14:textId="77777777" w:rsidR="00FE6E3A" w:rsidRPr="00E33E20" w:rsidRDefault="00FE6E3A"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In 2024, the Integration Foundation organized a new series of training seminars for young Roma activists. These seminars provided Roma youth with practical knowledge in time and career management, as well as NGO management. The training also focused on developing essential soft skills such as teamwork, initiative, confidence in self-expression, and analytical thinking. The acquired knowledge supports young Roma in building better lives and contributing positively to their communities.</w:t>
      </w:r>
    </w:p>
    <w:p w14:paraId="20DE7D47" w14:textId="77777777" w:rsidR="00481D47" w:rsidRPr="00E33E20" w:rsidRDefault="00481D47" w:rsidP="009174FD">
      <w:pPr>
        <w:spacing w:after="0" w:line="240" w:lineRule="auto"/>
        <w:jc w:val="both"/>
        <w:rPr>
          <w:rFonts w:ascii="Arial" w:hAnsi="Arial" w:cs="Arial"/>
          <w:sz w:val="24"/>
          <w:szCs w:val="24"/>
          <w:lang w:val="en-US"/>
        </w:rPr>
      </w:pPr>
    </w:p>
    <w:p w14:paraId="5A6EDF2E" w14:textId="649ADEEC" w:rsidR="00FE6E3A" w:rsidRPr="00E33E20" w:rsidRDefault="00FE6E3A" w:rsidP="009174FD">
      <w:pPr>
        <w:spacing w:after="0" w:line="240" w:lineRule="auto"/>
        <w:jc w:val="both"/>
        <w:rPr>
          <w:rFonts w:ascii="Arial" w:hAnsi="Arial" w:cs="Arial"/>
          <w:b/>
          <w:bCs/>
          <w:sz w:val="24"/>
          <w:szCs w:val="24"/>
          <w:lang w:val="en-US"/>
        </w:rPr>
      </w:pPr>
      <w:r w:rsidRPr="00E33E20">
        <w:rPr>
          <w:rFonts w:ascii="Arial" w:hAnsi="Arial" w:cs="Arial"/>
          <w:b/>
          <w:bCs/>
          <w:sz w:val="24"/>
          <w:szCs w:val="24"/>
          <w:lang w:val="en-US"/>
        </w:rPr>
        <w:t>Employment</w:t>
      </w:r>
      <w:r w:rsidR="00BB64D9" w:rsidRPr="00E33E20">
        <w:rPr>
          <w:rFonts w:ascii="Arial" w:hAnsi="Arial" w:cs="Arial"/>
          <w:b/>
          <w:bCs/>
          <w:sz w:val="24"/>
          <w:szCs w:val="24"/>
          <w:lang w:val="en-US"/>
        </w:rPr>
        <w:t xml:space="preserve"> for Roma people</w:t>
      </w:r>
    </w:p>
    <w:p w14:paraId="1F455E0A" w14:textId="77777777" w:rsidR="00BB64D9" w:rsidRPr="00E33E20" w:rsidRDefault="00BB64D9" w:rsidP="009174FD">
      <w:pPr>
        <w:spacing w:after="0" w:line="240" w:lineRule="auto"/>
        <w:jc w:val="both"/>
        <w:rPr>
          <w:rFonts w:ascii="Arial" w:eastAsia="Aptos" w:hAnsi="Arial" w:cs="Arial"/>
          <w:sz w:val="24"/>
          <w:szCs w:val="24"/>
          <w:lang w:val="en-US"/>
        </w:rPr>
      </w:pPr>
    </w:p>
    <w:p w14:paraId="6A74D986" w14:textId="2466E9DD" w:rsidR="00FE6E3A" w:rsidRPr="00E33E20" w:rsidRDefault="00FE6E3A" w:rsidP="009174FD">
      <w:pPr>
        <w:spacing w:after="0" w:line="240" w:lineRule="auto"/>
        <w:jc w:val="both"/>
        <w:rPr>
          <w:rFonts w:ascii="Arial" w:eastAsia="Aptos" w:hAnsi="Arial" w:cs="Arial"/>
          <w:sz w:val="24"/>
          <w:szCs w:val="24"/>
          <w:lang w:val="en-US"/>
        </w:rPr>
      </w:pPr>
      <w:r w:rsidRPr="00E33E20">
        <w:rPr>
          <w:rFonts w:ascii="Arial" w:eastAsia="Aptos" w:hAnsi="Arial" w:cs="Arial"/>
          <w:sz w:val="24"/>
          <w:szCs w:val="24"/>
          <w:lang w:val="en-US"/>
        </w:rPr>
        <w:t>Employment rate of Roma (15-74 years old) was 17,4% in 2024 (Source: Statistics Estonia, Employment Register (TÖR)).</w:t>
      </w:r>
    </w:p>
    <w:p w14:paraId="30F6E25D" w14:textId="77777777" w:rsidR="00BB64D9" w:rsidRPr="00E33E20" w:rsidRDefault="00BB64D9" w:rsidP="009174FD">
      <w:pPr>
        <w:spacing w:after="0" w:line="240" w:lineRule="auto"/>
        <w:jc w:val="both"/>
        <w:rPr>
          <w:rFonts w:ascii="Arial" w:hAnsi="Arial" w:cs="Arial"/>
          <w:b/>
          <w:bCs/>
          <w:sz w:val="24"/>
          <w:szCs w:val="24"/>
          <w:lang w:val="en-US"/>
        </w:rPr>
      </w:pPr>
    </w:p>
    <w:p w14:paraId="1F9CFA98" w14:textId="77777777" w:rsidR="00FE6E3A" w:rsidRPr="00E33E20" w:rsidRDefault="00FE6E3A"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 xml:space="preserve">Since March 2025, the Integration Foundation has been implementing the project “Creating and Improving Employment Opportunities for Roma.” The aim is to provide customized labour market measures to broaden employment prospects for Roma individuals and enhance their motivation to enter the labour market. The project targets Roma communities in five Estonian cities and includes identifying local labour market needs, offering job clubs </w:t>
      </w:r>
      <w:proofErr w:type="gramStart"/>
      <w:r w:rsidRPr="00E33E20">
        <w:rPr>
          <w:rFonts w:ascii="Arial" w:hAnsi="Arial" w:cs="Arial"/>
          <w:sz w:val="24"/>
          <w:szCs w:val="24"/>
          <w:lang w:val="en-US"/>
        </w:rPr>
        <w:t>and  training</w:t>
      </w:r>
      <w:proofErr w:type="gramEnd"/>
      <w:r w:rsidRPr="00E33E20">
        <w:rPr>
          <w:rFonts w:ascii="Arial" w:hAnsi="Arial" w:cs="Arial"/>
          <w:sz w:val="24"/>
          <w:szCs w:val="24"/>
          <w:lang w:val="en-US"/>
        </w:rPr>
        <w:t>, providing counselling and work placement opportunities, developing a support network to assist Roma jobseekers. The project will run from 2025 to 2027.</w:t>
      </w:r>
    </w:p>
    <w:p w14:paraId="422C326C" w14:textId="77777777" w:rsidR="00481D47" w:rsidRPr="00E33E20" w:rsidRDefault="00481D47" w:rsidP="009174FD">
      <w:pPr>
        <w:spacing w:after="0" w:line="240" w:lineRule="auto"/>
        <w:jc w:val="both"/>
        <w:rPr>
          <w:rFonts w:ascii="Arial" w:hAnsi="Arial" w:cs="Arial"/>
          <w:sz w:val="24"/>
          <w:szCs w:val="24"/>
          <w:lang w:val="en-US"/>
        </w:rPr>
      </w:pPr>
    </w:p>
    <w:p w14:paraId="64466C3D" w14:textId="65A2D05F" w:rsidR="00FE6E3A" w:rsidRPr="00E33E20" w:rsidRDefault="00FE6E3A" w:rsidP="009174FD">
      <w:pPr>
        <w:spacing w:after="0" w:line="240" w:lineRule="auto"/>
        <w:jc w:val="both"/>
        <w:rPr>
          <w:rFonts w:ascii="Arial" w:hAnsi="Arial" w:cs="Arial"/>
          <w:b/>
          <w:bCs/>
          <w:sz w:val="24"/>
          <w:szCs w:val="24"/>
          <w:lang w:val="en-US"/>
        </w:rPr>
      </w:pPr>
      <w:r w:rsidRPr="00E33E20">
        <w:rPr>
          <w:rFonts w:ascii="Arial" w:hAnsi="Arial" w:cs="Arial"/>
          <w:b/>
          <w:bCs/>
          <w:sz w:val="24"/>
          <w:szCs w:val="24"/>
          <w:lang w:val="en-US"/>
        </w:rPr>
        <w:t>Living conditions</w:t>
      </w:r>
      <w:r w:rsidR="00BB64D9" w:rsidRPr="00E33E20">
        <w:rPr>
          <w:rFonts w:ascii="Arial" w:hAnsi="Arial" w:cs="Arial"/>
          <w:b/>
          <w:bCs/>
          <w:sz w:val="24"/>
          <w:szCs w:val="24"/>
          <w:lang w:val="en-US"/>
        </w:rPr>
        <w:t xml:space="preserve"> for Roma people</w:t>
      </w:r>
    </w:p>
    <w:p w14:paraId="74824C7B" w14:textId="77777777" w:rsidR="00BB64D9" w:rsidRPr="00E33E20" w:rsidRDefault="00BB64D9" w:rsidP="009174FD">
      <w:pPr>
        <w:spacing w:after="0" w:line="240" w:lineRule="auto"/>
        <w:jc w:val="both"/>
        <w:rPr>
          <w:rFonts w:ascii="Arial" w:hAnsi="Arial" w:cs="Arial"/>
          <w:sz w:val="24"/>
          <w:szCs w:val="24"/>
          <w:lang w:val="en-US"/>
        </w:rPr>
      </w:pPr>
    </w:p>
    <w:p w14:paraId="0440529B" w14:textId="433572CF" w:rsidR="00FE6E3A" w:rsidRPr="00E33E20" w:rsidRDefault="00FE6E3A" w:rsidP="009174FD">
      <w:pPr>
        <w:spacing w:after="0" w:line="240" w:lineRule="auto"/>
        <w:jc w:val="both"/>
        <w:rPr>
          <w:rFonts w:ascii="Arial" w:eastAsia="Times New Roman" w:hAnsi="Arial" w:cs="Arial"/>
          <w:sz w:val="24"/>
          <w:szCs w:val="24"/>
          <w:lang w:val="en-US"/>
        </w:rPr>
      </w:pPr>
      <w:r w:rsidRPr="00E33E20">
        <w:rPr>
          <w:rFonts w:ascii="Arial" w:hAnsi="Arial" w:cs="Arial"/>
          <w:sz w:val="24"/>
          <w:szCs w:val="24"/>
          <w:lang w:val="en-US"/>
        </w:rPr>
        <w:t>According to the to the data of Estonian Statistics (Census 2021) the living conditions of Roma people are good. 89% of Roma have a</w:t>
      </w:r>
      <w:r w:rsidRPr="00E33E20">
        <w:rPr>
          <w:rFonts w:ascii="Arial" w:eastAsia="Times New Roman" w:hAnsi="Arial" w:cs="Arial"/>
          <w:sz w:val="24"/>
          <w:szCs w:val="24"/>
          <w:lang w:val="en-US"/>
        </w:rPr>
        <w:t xml:space="preserve"> water supply system, 78% have washing facilities (shower or bath at home), 86% WC toilet room, 60 </w:t>
      </w:r>
      <w:proofErr w:type="gramStart"/>
      <w:r w:rsidRPr="00E33E20">
        <w:rPr>
          <w:rFonts w:ascii="Arial" w:eastAsia="Times New Roman" w:hAnsi="Arial" w:cs="Arial"/>
          <w:sz w:val="24"/>
          <w:szCs w:val="24"/>
          <w:lang w:val="en-US"/>
        </w:rPr>
        <w:t>%  of</w:t>
      </w:r>
      <w:proofErr w:type="gramEnd"/>
      <w:r w:rsidRPr="00E33E20">
        <w:rPr>
          <w:rFonts w:ascii="Arial" w:eastAsia="Times New Roman" w:hAnsi="Arial" w:cs="Arial"/>
          <w:sz w:val="24"/>
          <w:szCs w:val="24"/>
          <w:lang w:val="en-US"/>
        </w:rPr>
        <w:t xml:space="preserve"> Roma hav</w:t>
      </w:r>
      <w:r w:rsidR="00841B3C" w:rsidRPr="00E33E20">
        <w:rPr>
          <w:rFonts w:ascii="Arial" w:eastAsia="Times New Roman" w:hAnsi="Arial" w:cs="Arial"/>
          <w:sz w:val="24"/>
          <w:szCs w:val="24"/>
          <w:lang w:val="en-US"/>
        </w:rPr>
        <w:t>e</w:t>
      </w:r>
      <w:r w:rsidRPr="00E33E20">
        <w:rPr>
          <w:rFonts w:ascii="Arial" w:eastAsia="Times New Roman" w:hAnsi="Arial" w:cs="Arial"/>
          <w:sz w:val="24"/>
          <w:szCs w:val="24"/>
          <w:lang w:val="en-US"/>
        </w:rPr>
        <w:t xml:space="preserve"> central heating system.</w:t>
      </w:r>
    </w:p>
    <w:p w14:paraId="26D17A1D" w14:textId="77777777" w:rsidR="00481D47" w:rsidRPr="00E33E20" w:rsidRDefault="00481D47" w:rsidP="009174FD">
      <w:pPr>
        <w:spacing w:after="0" w:line="240" w:lineRule="auto"/>
        <w:jc w:val="both"/>
        <w:rPr>
          <w:rFonts w:ascii="Arial" w:eastAsia="Times New Roman" w:hAnsi="Arial" w:cs="Arial"/>
          <w:sz w:val="24"/>
          <w:szCs w:val="24"/>
          <w:lang w:val="en-US"/>
        </w:rPr>
      </w:pPr>
    </w:p>
    <w:p w14:paraId="32ADB098" w14:textId="4D05B101" w:rsidR="00FE6E3A" w:rsidRPr="00E33E20" w:rsidRDefault="00FE6E3A" w:rsidP="009174FD">
      <w:pPr>
        <w:spacing w:after="0" w:line="240" w:lineRule="auto"/>
        <w:jc w:val="both"/>
        <w:rPr>
          <w:rFonts w:ascii="Arial" w:eastAsia="Times New Roman" w:hAnsi="Arial" w:cs="Arial"/>
          <w:b/>
          <w:bCs/>
          <w:sz w:val="24"/>
          <w:szCs w:val="24"/>
          <w:lang w:val="en-US"/>
        </w:rPr>
      </w:pPr>
      <w:r w:rsidRPr="00E33E20">
        <w:rPr>
          <w:rFonts w:ascii="Arial" w:eastAsia="Times New Roman" w:hAnsi="Arial" w:cs="Arial"/>
          <w:b/>
          <w:bCs/>
          <w:sz w:val="24"/>
          <w:szCs w:val="24"/>
          <w:lang w:val="en-US"/>
        </w:rPr>
        <w:t>Education</w:t>
      </w:r>
      <w:r w:rsidR="00BB64D9" w:rsidRPr="00E33E20">
        <w:rPr>
          <w:rFonts w:ascii="Arial" w:eastAsia="Times New Roman" w:hAnsi="Arial" w:cs="Arial"/>
          <w:b/>
          <w:bCs/>
          <w:sz w:val="24"/>
          <w:szCs w:val="24"/>
          <w:lang w:val="en-US"/>
        </w:rPr>
        <w:t xml:space="preserve"> for Roma people</w:t>
      </w:r>
    </w:p>
    <w:p w14:paraId="01294EB3" w14:textId="77777777" w:rsidR="00BB64D9" w:rsidRPr="00E33E20" w:rsidRDefault="00BB64D9" w:rsidP="009174FD">
      <w:pPr>
        <w:spacing w:after="0" w:line="240" w:lineRule="auto"/>
        <w:jc w:val="both"/>
        <w:rPr>
          <w:rFonts w:ascii="Arial" w:hAnsi="Arial" w:cs="Arial"/>
          <w:sz w:val="24"/>
          <w:szCs w:val="24"/>
          <w:lang w:val="en-US"/>
        </w:rPr>
      </w:pPr>
    </w:p>
    <w:p w14:paraId="4C5C781B" w14:textId="6F3CA783" w:rsidR="00FE6E3A" w:rsidRPr="00E33E20" w:rsidRDefault="00FE6E3A" w:rsidP="009174FD">
      <w:pPr>
        <w:spacing w:after="0" w:line="240" w:lineRule="auto"/>
        <w:jc w:val="both"/>
        <w:rPr>
          <w:rFonts w:ascii="Arial" w:eastAsia="Times New Roman" w:hAnsi="Arial" w:cs="Arial"/>
          <w:sz w:val="24"/>
          <w:szCs w:val="24"/>
          <w:lang w:val="en-US"/>
        </w:rPr>
      </w:pPr>
      <w:r w:rsidRPr="00E33E20">
        <w:rPr>
          <w:rFonts w:ascii="Arial" w:hAnsi="Arial" w:cs="Arial"/>
          <w:sz w:val="24"/>
          <w:szCs w:val="24"/>
          <w:lang w:val="en-US"/>
        </w:rPr>
        <w:t>According to the to the data of Estonian Statistics (01.01.2024</w:t>
      </w:r>
      <w:r w:rsidR="00BB64D9" w:rsidRPr="00E33E20">
        <w:rPr>
          <w:rFonts w:ascii="Arial" w:hAnsi="Arial" w:cs="Arial"/>
          <w:sz w:val="24"/>
          <w:szCs w:val="24"/>
          <w:lang w:val="en-US"/>
        </w:rPr>
        <w:t xml:space="preserve">) </w:t>
      </w:r>
      <w:r w:rsidR="00BB64D9" w:rsidRPr="00E33E20">
        <w:rPr>
          <w:rFonts w:ascii="Arial" w:eastAsia="Times New Roman" w:hAnsi="Arial" w:cs="Arial"/>
          <w:sz w:val="24"/>
          <w:szCs w:val="24"/>
          <w:lang w:val="en-US"/>
        </w:rPr>
        <w:t>2</w:t>
      </w:r>
      <w:r w:rsidRPr="00E33E20">
        <w:rPr>
          <w:rFonts w:ascii="Arial" w:eastAsia="Times New Roman" w:hAnsi="Arial" w:cs="Arial"/>
          <w:sz w:val="24"/>
          <w:szCs w:val="24"/>
          <w:lang w:val="en-US"/>
        </w:rPr>
        <w:t xml:space="preserve">% of Roma have higher </w:t>
      </w:r>
      <w:r w:rsidR="00BB64D9" w:rsidRPr="00E33E20">
        <w:rPr>
          <w:rFonts w:ascii="Arial" w:eastAsia="Times New Roman" w:hAnsi="Arial" w:cs="Arial"/>
          <w:sz w:val="24"/>
          <w:szCs w:val="24"/>
          <w:lang w:val="en-US"/>
        </w:rPr>
        <w:t>education</w:t>
      </w:r>
      <w:r w:rsidRPr="00E33E20">
        <w:rPr>
          <w:rFonts w:ascii="Arial" w:eastAsia="Times New Roman" w:hAnsi="Arial" w:cs="Arial"/>
          <w:sz w:val="24"/>
          <w:szCs w:val="24"/>
          <w:lang w:val="en-US"/>
        </w:rPr>
        <w:t>, 23,9% have Secondary, secondary specialized or vocational education, 37,7% have basic education, 24,5% have primary education, 9,1 % are without education and 2,7% of Roma`s education is unknown.</w:t>
      </w:r>
    </w:p>
    <w:p w14:paraId="01076543" w14:textId="77777777" w:rsidR="00BB64D9" w:rsidRPr="00E33E20" w:rsidRDefault="00BB64D9" w:rsidP="009174FD">
      <w:pPr>
        <w:spacing w:after="0" w:line="240" w:lineRule="auto"/>
        <w:jc w:val="both"/>
        <w:rPr>
          <w:rFonts w:ascii="Arial" w:eastAsia="Times New Roman" w:hAnsi="Arial" w:cs="Arial"/>
          <w:sz w:val="24"/>
          <w:szCs w:val="24"/>
          <w:lang w:val="en-US"/>
        </w:rPr>
      </w:pPr>
    </w:p>
    <w:p w14:paraId="12788931" w14:textId="77777777" w:rsidR="00FE6E3A" w:rsidRPr="00E33E20" w:rsidRDefault="00FE6E3A" w:rsidP="009174FD">
      <w:pPr>
        <w:spacing w:after="0" w:line="240" w:lineRule="auto"/>
        <w:jc w:val="both"/>
        <w:rPr>
          <w:rFonts w:ascii="Arial" w:eastAsia="Times New Roman" w:hAnsi="Arial" w:cs="Arial"/>
          <w:sz w:val="24"/>
          <w:szCs w:val="24"/>
          <w:lang w:val="en-US"/>
        </w:rPr>
      </w:pPr>
      <w:r w:rsidRPr="00E33E20">
        <w:rPr>
          <w:rFonts w:ascii="Arial" w:eastAsia="Times New Roman" w:hAnsi="Arial" w:cs="Arial"/>
          <w:sz w:val="24"/>
          <w:szCs w:val="24"/>
          <w:lang w:val="en-US"/>
        </w:rPr>
        <w:t xml:space="preserve">In the 2024/2025 academic year, 8 children with Roma as their native language participated in early childhood education. Three of them were offered additional Estonian language instruction, and one received speech therapy support. </w:t>
      </w:r>
    </w:p>
    <w:p w14:paraId="742F1ED3" w14:textId="77777777" w:rsidR="00BB64D9" w:rsidRPr="00E33E20" w:rsidRDefault="00BB64D9" w:rsidP="009174FD">
      <w:pPr>
        <w:spacing w:after="0" w:line="240" w:lineRule="auto"/>
        <w:jc w:val="both"/>
        <w:rPr>
          <w:rFonts w:ascii="Arial" w:eastAsia="Times New Roman" w:hAnsi="Arial" w:cs="Arial"/>
          <w:sz w:val="24"/>
          <w:szCs w:val="24"/>
          <w:lang w:val="en-US"/>
        </w:rPr>
      </w:pPr>
    </w:p>
    <w:p w14:paraId="5A8E4587" w14:textId="4EBE86D7" w:rsidR="00AA63DF" w:rsidRPr="00E33E20" w:rsidRDefault="00FE6E3A" w:rsidP="00BB64D9">
      <w:pPr>
        <w:spacing w:after="0" w:line="240" w:lineRule="auto"/>
        <w:jc w:val="both"/>
        <w:rPr>
          <w:rFonts w:ascii="Arial" w:eastAsia="Times New Roman" w:hAnsi="Arial" w:cs="Arial"/>
          <w:sz w:val="24"/>
          <w:szCs w:val="24"/>
          <w:lang w:val="en-US"/>
        </w:rPr>
      </w:pPr>
      <w:r w:rsidRPr="00E33E20">
        <w:rPr>
          <w:rFonts w:ascii="Arial" w:eastAsia="Times New Roman" w:hAnsi="Arial" w:cs="Arial"/>
          <w:sz w:val="24"/>
          <w:szCs w:val="24"/>
          <w:lang w:val="en-US"/>
        </w:rPr>
        <w:t xml:space="preserve">60 pupils studied in Estonian general education schools in the academic year of 2024/2025, whose mother tongue was Roma. It can be assumed that there are </w:t>
      </w:r>
      <w:proofErr w:type="gramStart"/>
      <w:r w:rsidRPr="00E33E20">
        <w:rPr>
          <w:rFonts w:ascii="Arial" w:eastAsia="Times New Roman" w:hAnsi="Arial" w:cs="Arial"/>
          <w:sz w:val="24"/>
          <w:szCs w:val="24"/>
          <w:lang w:val="en-US"/>
        </w:rPr>
        <w:t>actually more</w:t>
      </w:r>
      <w:proofErr w:type="gramEnd"/>
      <w:r w:rsidRPr="00E33E20">
        <w:rPr>
          <w:rFonts w:ascii="Arial" w:eastAsia="Times New Roman" w:hAnsi="Arial" w:cs="Arial"/>
          <w:sz w:val="24"/>
          <w:szCs w:val="24"/>
          <w:lang w:val="en-US"/>
        </w:rPr>
        <w:t xml:space="preserve"> students with Roma ethnic identity, but they may have Russian or Latvian or another language listed as their native language, and therefore it is not possible to distinguish them based on the registry data. Of the 60 Roma native speakers, 48 had Latvian citizenship and 12 had Estonian citizenship. </w:t>
      </w:r>
      <w:proofErr w:type="gramStart"/>
      <w:r w:rsidRPr="00E33E20">
        <w:rPr>
          <w:rFonts w:ascii="Arial" w:eastAsia="Times New Roman" w:hAnsi="Arial" w:cs="Arial"/>
          <w:sz w:val="24"/>
          <w:szCs w:val="24"/>
          <w:lang w:val="en-US"/>
        </w:rPr>
        <w:t>The majority of</w:t>
      </w:r>
      <w:proofErr w:type="gramEnd"/>
      <w:r w:rsidRPr="00E33E20">
        <w:rPr>
          <w:rFonts w:ascii="Arial" w:eastAsia="Times New Roman" w:hAnsi="Arial" w:cs="Arial"/>
          <w:sz w:val="24"/>
          <w:szCs w:val="24"/>
          <w:lang w:val="en-US"/>
        </w:rPr>
        <w:t xml:space="preserve"> them (46) lived in Valga County. 44 students studied in a regular class and 16 in a special class.  33 pupils were offered additional Estonian language instruction, 23 students had an individual curriculum in individual subjects, 17 received support from a special education teacher and 17 from a speech therapist.</w:t>
      </w:r>
    </w:p>
    <w:p w14:paraId="0900761F" w14:textId="77777777" w:rsidR="00B47D84" w:rsidRPr="00E33E20" w:rsidRDefault="00B47D84" w:rsidP="009174FD">
      <w:pPr>
        <w:autoSpaceDE w:val="0"/>
        <w:autoSpaceDN w:val="0"/>
        <w:adjustRightInd w:val="0"/>
        <w:spacing w:after="0" w:line="240" w:lineRule="auto"/>
        <w:jc w:val="both"/>
        <w:rPr>
          <w:rFonts w:ascii="Arial" w:hAnsi="Arial" w:cs="Arial"/>
          <w:b/>
          <w:sz w:val="24"/>
          <w:szCs w:val="24"/>
          <w:lang w:val="en-US"/>
        </w:rPr>
      </w:pPr>
    </w:p>
    <w:p w14:paraId="4748D932" w14:textId="441C33EA" w:rsidR="002233B2" w:rsidRPr="00E33E20" w:rsidRDefault="00E2307F" w:rsidP="009174FD">
      <w:pPr>
        <w:autoSpaceDE w:val="0"/>
        <w:autoSpaceDN w:val="0"/>
        <w:adjustRightInd w:val="0"/>
        <w:spacing w:after="0" w:line="240" w:lineRule="auto"/>
        <w:jc w:val="both"/>
        <w:rPr>
          <w:rFonts w:ascii="Arial" w:hAnsi="Arial" w:cs="Arial"/>
          <w:b/>
          <w:sz w:val="24"/>
          <w:szCs w:val="24"/>
          <w:lang w:val="en-US"/>
        </w:rPr>
      </w:pPr>
      <w:r w:rsidRPr="00E33E20">
        <w:rPr>
          <w:rFonts w:ascii="Arial" w:hAnsi="Arial" w:cs="Arial"/>
          <w:b/>
          <w:sz w:val="24"/>
          <w:szCs w:val="24"/>
          <w:lang w:val="en-US"/>
        </w:rPr>
        <w:t>Equality of opportunity and treatment between men and women</w:t>
      </w:r>
      <w:r w:rsidR="00AA63DF" w:rsidRPr="00E33E20">
        <w:rPr>
          <w:rFonts w:ascii="Arial" w:hAnsi="Arial" w:cs="Arial"/>
          <w:b/>
          <w:sz w:val="24"/>
          <w:szCs w:val="24"/>
          <w:lang w:val="en-US"/>
        </w:rPr>
        <w:t>, statistics</w:t>
      </w:r>
    </w:p>
    <w:p w14:paraId="2C99F0C7" w14:textId="77777777" w:rsidR="000A25F4" w:rsidRPr="00E33E20" w:rsidRDefault="000A25F4" w:rsidP="009174FD">
      <w:pPr>
        <w:pStyle w:val="Pealkiri3"/>
        <w:spacing w:before="0" w:line="240" w:lineRule="auto"/>
        <w:ind w:right="305"/>
        <w:jc w:val="both"/>
        <w:rPr>
          <w:rFonts w:ascii="Arial" w:hAnsi="Arial" w:cs="Arial"/>
          <w:color w:val="auto"/>
          <w:lang w:val="en-US"/>
        </w:rPr>
      </w:pPr>
    </w:p>
    <w:p w14:paraId="46FF9F32" w14:textId="28B6D5B1" w:rsidR="00AA63DF" w:rsidRPr="00E33E20" w:rsidRDefault="00BB0078" w:rsidP="009174FD">
      <w:pPr>
        <w:pStyle w:val="Pealkiri3"/>
        <w:spacing w:before="0" w:line="240" w:lineRule="auto"/>
        <w:ind w:right="305"/>
        <w:jc w:val="both"/>
        <w:rPr>
          <w:rFonts w:ascii="Arial" w:hAnsi="Arial" w:cs="Arial"/>
          <w:b/>
          <w:bCs/>
          <w:i/>
          <w:iCs/>
          <w:color w:val="auto"/>
          <w:lang w:val="en-US"/>
        </w:rPr>
      </w:pPr>
      <w:r w:rsidRPr="00E33E20">
        <w:rPr>
          <w:rFonts w:ascii="Arial" w:hAnsi="Arial" w:cs="Arial"/>
          <w:color w:val="auto"/>
          <w:lang w:val="en-US"/>
        </w:rPr>
        <w:t xml:space="preserve">Employment rate of men and women has remained stable over the past three years. Employment gap between men and women remains around 4-5 percentage points. Share of women working in the services sector has increased to 84% in 2024 compared to 56% among men. </w:t>
      </w:r>
    </w:p>
    <w:p w14:paraId="100A965B" w14:textId="77777777" w:rsidR="00AA63DF" w:rsidRPr="00E33E20" w:rsidRDefault="00AA63DF" w:rsidP="009174FD">
      <w:pPr>
        <w:pStyle w:val="Pealkiri3"/>
        <w:spacing w:before="0" w:line="240" w:lineRule="auto"/>
        <w:ind w:right="305"/>
        <w:jc w:val="both"/>
        <w:rPr>
          <w:rFonts w:ascii="Arial" w:hAnsi="Arial" w:cs="Arial"/>
          <w:color w:val="auto"/>
          <w:lang w:val="en-US"/>
        </w:rPr>
      </w:pPr>
    </w:p>
    <w:p w14:paraId="0C4A0496" w14:textId="7E47C3D6" w:rsidR="00484308" w:rsidRPr="00E33E20" w:rsidRDefault="00BB0078" w:rsidP="00BB64D9">
      <w:pPr>
        <w:pStyle w:val="Pealkiri3"/>
        <w:spacing w:before="0" w:line="240" w:lineRule="auto"/>
        <w:ind w:right="305"/>
        <w:jc w:val="both"/>
        <w:rPr>
          <w:rFonts w:ascii="Arial" w:hAnsi="Arial" w:cs="Arial"/>
          <w:i/>
          <w:iCs/>
          <w:color w:val="auto"/>
          <w:lang w:val="en-US"/>
        </w:rPr>
      </w:pPr>
      <w:r w:rsidRPr="00E33E20">
        <w:rPr>
          <w:rFonts w:ascii="Arial" w:hAnsi="Arial" w:cs="Arial"/>
          <w:i/>
          <w:iCs/>
          <w:color w:val="auto"/>
          <w:lang w:val="en-US"/>
        </w:rPr>
        <w:t>Table: Participation of men and women in lifelong learning and employment, 2022-2024</w:t>
      </w:r>
    </w:p>
    <w:tbl>
      <w:tblPr>
        <w:tblStyle w:val="Helekontuurtabel"/>
        <w:tblW w:w="6760" w:type="dxa"/>
        <w:tblLook w:val="04A0" w:firstRow="1" w:lastRow="0" w:firstColumn="1" w:lastColumn="0" w:noHBand="0" w:noVBand="1"/>
      </w:tblPr>
      <w:tblGrid>
        <w:gridCol w:w="1043"/>
        <w:gridCol w:w="1920"/>
        <w:gridCol w:w="1940"/>
        <w:gridCol w:w="1940"/>
      </w:tblGrid>
      <w:tr w:rsidR="0067213D" w:rsidRPr="00E33E20" w14:paraId="3BF1D5FA" w14:textId="77777777" w:rsidTr="00865208">
        <w:trPr>
          <w:trHeight w:val="290"/>
        </w:trPr>
        <w:tc>
          <w:tcPr>
            <w:tcW w:w="960" w:type="dxa"/>
            <w:noWrap/>
            <w:hideMark/>
          </w:tcPr>
          <w:p w14:paraId="18A91510"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 </w:t>
            </w:r>
          </w:p>
        </w:tc>
        <w:tc>
          <w:tcPr>
            <w:tcW w:w="1920" w:type="dxa"/>
            <w:noWrap/>
            <w:hideMark/>
          </w:tcPr>
          <w:p w14:paraId="2999C8AD" w14:textId="77777777" w:rsidR="00BB0078" w:rsidRPr="00E33E20" w:rsidRDefault="00BB0078" w:rsidP="009174FD">
            <w:pPr>
              <w:jc w:val="both"/>
              <w:rPr>
                <w:rFonts w:ascii="Arial" w:eastAsia="Times New Roman" w:hAnsi="Arial" w:cs="Arial"/>
                <w:b/>
                <w:bCs/>
                <w:sz w:val="24"/>
                <w:szCs w:val="24"/>
                <w:lang w:val="en-US" w:eastAsia="et-EE"/>
              </w:rPr>
            </w:pPr>
            <w:r w:rsidRPr="00E33E20">
              <w:rPr>
                <w:rFonts w:ascii="Arial" w:eastAsia="Times New Roman" w:hAnsi="Arial" w:cs="Arial"/>
                <w:b/>
                <w:bCs/>
                <w:sz w:val="24"/>
                <w:szCs w:val="24"/>
                <w:lang w:val="en-US" w:eastAsia="et-EE"/>
              </w:rPr>
              <w:t>2022</w:t>
            </w:r>
          </w:p>
        </w:tc>
        <w:tc>
          <w:tcPr>
            <w:tcW w:w="1940" w:type="dxa"/>
            <w:noWrap/>
            <w:hideMark/>
          </w:tcPr>
          <w:p w14:paraId="0BB461BA" w14:textId="77777777" w:rsidR="00BB0078" w:rsidRPr="00E33E20" w:rsidRDefault="00BB0078" w:rsidP="009174FD">
            <w:pPr>
              <w:jc w:val="both"/>
              <w:rPr>
                <w:rFonts w:ascii="Arial" w:eastAsia="Times New Roman" w:hAnsi="Arial" w:cs="Arial"/>
                <w:b/>
                <w:bCs/>
                <w:sz w:val="24"/>
                <w:szCs w:val="24"/>
                <w:lang w:val="en-US" w:eastAsia="et-EE"/>
              </w:rPr>
            </w:pPr>
            <w:r w:rsidRPr="00E33E20">
              <w:rPr>
                <w:rFonts w:ascii="Arial" w:eastAsia="Times New Roman" w:hAnsi="Arial" w:cs="Arial"/>
                <w:b/>
                <w:bCs/>
                <w:sz w:val="24"/>
                <w:szCs w:val="24"/>
                <w:lang w:val="en-US" w:eastAsia="et-EE"/>
              </w:rPr>
              <w:t>2023</w:t>
            </w:r>
          </w:p>
        </w:tc>
        <w:tc>
          <w:tcPr>
            <w:tcW w:w="1940" w:type="dxa"/>
            <w:noWrap/>
            <w:hideMark/>
          </w:tcPr>
          <w:p w14:paraId="2215DDFC" w14:textId="77777777" w:rsidR="00BB0078" w:rsidRPr="00E33E20" w:rsidRDefault="00BB0078" w:rsidP="009174FD">
            <w:pPr>
              <w:jc w:val="both"/>
              <w:rPr>
                <w:rFonts w:ascii="Arial" w:eastAsia="Times New Roman" w:hAnsi="Arial" w:cs="Arial"/>
                <w:b/>
                <w:bCs/>
                <w:sz w:val="24"/>
                <w:szCs w:val="24"/>
                <w:lang w:val="en-US" w:eastAsia="et-EE"/>
              </w:rPr>
            </w:pPr>
            <w:r w:rsidRPr="00E33E20">
              <w:rPr>
                <w:rFonts w:ascii="Arial" w:eastAsia="Times New Roman" w:hAnsi="Arial" w:cs="Arial"/>
                <w:b/>
                <w:bCs/>
                <w:sz w:val="24"/>
                <w:szCs w:val="24"/>
                <w:lang w:val="en-US" w:eastAsia="et-EE"/>
              </w:rPr>
              <w:t>2024</w:t>
            </w:r>
          </w:p>
        </w:tc>
      </w:tr>
      <w:tr w:rsidR="0067213D" w:rsidRPr="00E33E20" w14:paraId="7A79F18C" w14:textId="77777777" w:rsidTr="00865208">
        <w:trPr>
          <w:trHeight w:val="290"/>
        </w:trPr>
        <w:tc>
          <w:tcPr>
            <w:tcW w:w="6760" w:type="dxa"/>
            <w:gridSpan w:val="4"/>
            <w:noWrap/>
            <w:hideMark/>
          </w:tcPr>
          <w:p w14:paraId="47AAB1F5"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Employment rate, age 15-74, %</w:t>
            </w:r>
          </w:p>
        </w:tc>
      </w:tr>
      <w:tr w:rsidR="0067213D" w:rsidRPr="00E33E20" w14:paraId="44440292" w14:textId="77777777" w:rsidTr="00865208">
        <w:trPr>
          <w:trHeight w:val="290"/>
        </w:trPr>
        <w:tc>
          <w:tcPr>
            <w:tcW w:w="960" w:type="dxa"/>
            <w:noWrap/>
            <w:hideMark/>
          </w:tcPr>
          <w:p w14:paraId="33347721"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Men</w:t>
            </w:r>
          </w:p>
        </w:tc>
        <w:tc>
          <w:tcPr>
            <w:tcW w:w="1920" w:type="dxa"/>
            <w:noWrap/>
            <w:hideMark/>
          </w:tcPr>
          <w:p w14:paraId="7ECAFCC9"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72</w:t>
            </w:r>
          </w:p>
        </w:tc>
        <w:tc>
          <w:tcPr>
            <w:tcW w:w="1940" w:type="dxa"/>
            <w:noWrap/>
            <w:hideMark/>
          </w:tcPr>
          <w:p w14:paraId="4C509604"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72</w:t>
            </w:r>
          </w:p>
        </w:tc>
        <w:tc>
          <w:tcPr>
            <w:tcW w:w="1940" w:type="dxa"/>
            <w:noWrap/>
            <w:hideMark/>
          </w:tcPr>
          <w:p w14:paraId="4A97FFFA"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71</w:t>
            </w:r>
          </w:p>
        </w:tc>
      </w:tr>
      <w:tr w:rsidR="0067213D" w:rsidRPr="00E33E20" w14:paraId="46BB6DE2" w14:textId="77777777" w:rsidTr="00865208">
        <w:trPr>
          <w:trHeight w:val="290"/>
        </w:trPr>
        <w:tc>
          <w:tcPr>
            <w:tcW w:w="960" w:type="dxa"/>
            <w:noWrap/>
            <w:hideMark/>
          </w:tcPr>
          <w:p w14:paraId="00237256"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Women</w:t>
            </w:r>
          </w:p>
        </w:tc>
        <w:tc>
          <w:tcPr>
            <w:tcW w:w="1920" w:type="dxa"/>
            <w:noWrap/>
            <w:hideMark/>
          </w:tcPr>
          <w:p w14:paraId="6AE5F1CE"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67</w:t>
            </w:r>
          </w:p>
        </w:tc>
        <w:tc>
          <w:tcPr>
            <w:tcW w:w="1940" w:type="dxa"/>
            <w:noWrap/>
            <w:hideMark/>
          </w:tcPr>
          <w:p w14:paraId="127A5E42"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67</w:t>
            </w:r>
          </w:p>
        </w:tc>
        <w:tc>
          <w:tcPr>
            <w:tcW w:w="1940" w:type="dxa"/>
            <w:noWrap/>
            <w:hideMark/>
          </w:tcPr>
          <w:p w14:paraId="7B7EB38F"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67</w:t>
            </w:r>
          </w:p>
        </w:tc>
      </w:tr>
      <w:tr w:rsidR="0067213D" w:rsidRPr="00E33E20" w14:paraId="26F1F3D8" w14:textId="77777777" w:rsidTr="00865208">
        <w:trPr>
          <w:trHeight w:val="350"/>
        </w:trPr>
        <w:tc>
          <w:tcPr>
            <w:tcW w:w="6760" w:type="dxa"/>
            <w:gridSpan w:val="4"/>
            <w:hideMark/>
          </w:tcPr>
          <w:p w14:paraId="1F735789"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 xml:space="preserve">Participation in lifelong learning </w:t>
            </w:r>
            <w:proofErr w:type="gramStart"/>
            <w:r w:rsidRPr="00E33E20">
              <w:rPr>
                <w:rFonts w:ascii="Arial" w:eastAsia="Times New Roman" w:hAnsi="Arial" w:cs="Arial"/>
                <w:sz w:val="24"/>
                <w:szCs w:val="24"/>
                <w:lang w:val="en-US" w:eastAsia="et-EE"/>
              </w:rPr>
              <w:t>during</w:t>
            </w:r>
            <w:proofErr w:type="gramEnd"/>
            <w:r w:rsidRPr="00E33E20">
              <w:rPr>
                <w:rFonts w:ascii="Arial" w:eastAsia="Times New Roman" w:hAnsi="Arial" w:cs="Arial"/>
                <w:sz w:val="24"/>
                <w:szCs w:val="24"/>
                <w:lang w:val="en-US" w:eastAsia="et-EE"/>
              </w:rPr>
              <w:t xml:space="preserve"> 12 months, age 20-64, %*</w:t>
            </w:r>
          </w:p>
        </w:tc>
      </w:tr>
      <w:tr w:rsidR="0067213D" w:rsidRPr="00E33E20" w14:paraId="5830CD5F" w14:textId="77777777" w:rsidTr="00865208">
        <w:trPr>
          <w:trHeight w:val="290"/>
        </w:trPr>
        <w:tc>
          <w:tcPr>
            <w:tcW w:w="960" w:type="dxa"/>
            <w:noWrap/>
            <w:hideMark/>
          </w:tcPr>
          <w:p w14:paraId="2B246D7A"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Men</w:t>
            </w:r>
          </w:p>
        </w:tc>
        <w:tc>
          <w:tcPr>
            <w:tcW w:w="1920" w:type="dxa"/>
            <w:noWrap/>
            <w:hideMark/>
          </w:tcPr>
          <w:p w14:paraId="2F88AA27"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49</w:t>
            </w:r>
          </w:p>
        </w:tc>
        <w:tc>
          <w:tcPr>
            <w:tcW w:w="1940" w:type="dxa"/>
            <w:noWrap/>
            <w:hideMark/>
          </w:tcPr>
          <w:p w14:paraId="28F462ED"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w:t>
            </w:r>
          </w:p>
        </w:tc>
        <w:tc>
          <w:tcPr>
            <w:tcW w:w="1940" w:type="dxa"/>
            <w:noWrap/>
            <w:hideMark/>
          </w:tcPr>
          <w:p w14:paraId="4283DFE3"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49</w:t>
            </w:r>
          </w:p>
        </w:tc>
      </w:tr>
      <w:tr w:rsidR="0067213D" w:rsidRPr="00E33E20" w14:paraId="1ED44D1B" w14:textId="77777777" w:rsidTr="00865208">
        <w:trPr>
          <w:trHeight w:val="290"/>
        </w:trPr>
        <w:tc>
          <w:tcPr>
            <w:tcW w:w="960" w:type="dxa"/>
            <w:noWrap/>
            <w:hideMark/>
          </w:tcPr>
          <w:p w14:paraId="6343A168"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Women</w:t>
            </w:r>
          </w:p>
        </w:tc>
        <w:tc>
          <w:tcPr>
            <w:tcW w:w="1920" w:type="dxa"/>
            <w:noWrap/>
            <w:hideMark/>
          </w:tcPr>
          <w:p w14:paraId="34940233"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59</w:t>
            </w:r>
          </w:p>
        </w:tc>
        <w:tc>
          <w:tcPr>
            <w:tcW w:w="1940" w:type="dxa"/>
            <w:noWrap/>
            <w:hideMark/>
          </w:tcPr>
          <w:p w14:paraId="2D253C30"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w:t>
            </w:r>
          </w:p>
        </w:tc>
        <w:tc>
          <w:tcPr>
            <w:tcW w:w="1940" w:type="dxa"/>
            <w:noWrap/>
            <w:hideMark/>
          </w:tcPr>
          <w:p w14:paraId="0882D93A"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62</w:t>
            </w:r>
          </w:p>
        </w:tc>
      </w:tr>
    </w:tbl>
    <w:p w14:paraId="519EBFC7" w14:textId="77777777" w:rsidR="00BB0078" w:rsidRPr="00E33E20" w:rsidRDefault="00BB0078" w:rsidP="009174FD">
      <w:pPr>
        <w:pStyle w:val="Pealkiri3"/>
        <w:spacing w:before="0" w:line="240" w:lineRule="auto"/>
        <w:ind w:right="305"/>
        <w:jc w:val="both"/>
        <w:rPr>
          <w:rFonts w:ascii="Arial" w:hAnsi="Arial" w:cs="Arial"/>
          <w:b/>
          <w:bCs/>
          <w:i/>
          <w:iCs/>
          <w:color w:val="auto"/>
          <w:lang w:val="en-US"/>
        </w:rPr>
      </w:pPr>
      <w:r w:rsidRPr="00E33E20">
        <w:rPr>
          <w:rFonts w:ascii="Arial" w:hAnsi="Arial" w:cs="Arial"/>
          <w:color w:val="auto"/>
          <w:lang w:val="en-US"/>
        </w:rPr>
        <w:t>*Data collected every second year. Source: Labour Force Survey, Statistics Estonia</w:t>
      </w:r>
    </w:p>
    <w:p w14:paraId="52300D42" w14:textId="77777777" w:rsidR="00BB0078" w:rsidRPr="00E33E20" w:rsidRDefault="00BB0078" w:rsidP="009174FD">
      <w:pPr>
        <w:pStyle w:val="Pealkiri3"/>
        <w:spacing w:before="0" w:line="240" w:lineRule="auto"/>
        <w:ind w:right="305"/>
        <w:jc w:val="both"/>
        <w:rPr>
          <w:rFonts w:ascii="Arial" w:hAnsi="Arial" w:cs="Arial"/>
          <w:b/>
          <w:bCs/>
          <w:i/>
          <w:iCs/>
          <w:color w:val="auto"/>
          <w:lang w:val="en-US"/>
        </w:rPr>
      </w:pPr>
    </w:p>
    <w:p w14:paraId="41417A31" w14:textId="2230F1DD" w:rsidR="00484308" w:rsidRPr="00E33E20" w:rsidRDefault="00BB0078" w:rsidP="00BB64D9">
      <w:pPr>
        <w:pStyle w:val="Pealkiri3"/>
        <w:spacing w:before="0" w:line="240" w:lineRule="auto"/>
        <w:ind w:right="305"/>
        <w:jc w:val="both"/>
        <w:rPr>
          <w:rFonts w:ascii="Arial" w:hAnsi="Arial" w:cs="Arial"/>
          <w:i/>
          <w:iCs/>
          <w:color w:val="auto"/>
          <w:lang w:val="en-US"/>
        </w:rPr>
      </w:pPr>
      <w:r w:rsidRPr="00E33E20">
        <w:rPr>
          <w:rFonts w:ascii="Arial" w:hAnsi="Arial" w:cs="Arial"/>
          <w:i/>
          <w:iCs/>
          <w:color w:val="auto"/>
          <w:lang w:val="en-US"/>
        </w:rPr>
        <w:t>Table: Employment of men and women by sector of economy, 2022-2024, %</w:t>
      </w:r>
    </w:p>
    <w:tbl>
      <w:tblPr>
        <w:tblStyle w:val="Helekontuurtabel"/>
        <w:tblW w:w="6340" w:type="dxa"/>
        <w:tblLook w:val="04A0" w:firstRow="1" w:lastRow="0" w:firstColumn="1" w:lastColumn="0" w:noHBand="0" w:noVBand="1"/>
      </w:tblPr>
      <w:tblGrid>
        <w:gridCol w:w="1043"/>
        <w:gridCol w:w="1020"/>
        <w:gridCol w:w="1563"/>
        <w:gridCol w:w="1670"/>
        <w:gridCol w:w="1400"/>
      </w:tblGrid>
      <w:tr w:rsidR="0067213D" w:rsidRPr="00E33E20" w14:paraId="1B05061F" w14:textId="77777777" w:rsidTr="00865208">
        <w:trPr>
          <w:trHeight w:val="870"/>
        </w:trPr>
        <w:tc>
          <w:tcPr>
            <w:tcW w:w="1020" w:type="dxa"/>
            <w:noWrap/>
            <w:hideMark/>
          </w:tcPr>
          <w:p w14:paraId="083A314E"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 </w:t>
            </w:r>
          </w:p>
        </w:tc>
        <w:tc>
          <w:tcPr>
            <w:tcW w:w="1020" w:type="dxa"/>
            <w:noWrap/>
            <w:hideMark/>
          </w:tcPr>
          <w:p w14:paraId="3B824232"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 </w:t>
            </w:r>
          </w:p>
        </w:tc>
        <w:tc>
          <w:tcPr>
            <w:tcW w:w="1480" w:type="dxa"/>
            <w:hideMark/>
          </w:tcPr>
          <w:p w14:paraId="0F324F3C" w14:textId="77777777" w:rsidR="00BB0078" w:rsidRPr="00E33E20" w:rsidRDefault="00BB0078" w:rsidP="009174FD">
            <w:pPr>
              <w:jc w:val="both"/>
              <w:rPr>
                <w:rFonts w:ascii="Arial" w:eastAsia="Times New Roman" w:hAnsi="Arial" w:cs="Arial"/>
                <w:b/>
                <w:bCs/>
                <w:sz w:val="24"/>
                <w:szCs w:val="24"/>
                <w:lang w:val="en-US" w:eastAsia="et-EE"/>
              </w:rPr>
            </w:pPr>
            <w:r w:rsidRPr="00E33E20">
              <w:rPr>
                <w:rFonts w:ascii="Arial" w:eastAsia="Times New Roman" w:hAnsi="Arial" w:cs="Arial"/>
                <w:b/>
                <w:bCs/>
                <w:sz w:val="24"/>
                <w:szCs w:val="24"/>
                <w:lang w:val="en-US" w:eastAsia="et-EE"/>
              </w:rPr>
              <w:t>Agriculture, forestry and fishing</w:t>
            </w:r>
          </w:p>
        </w:tc>
        <w:tc>
          <w:tcPr>
            <w:tcW w:w="1420" w:type="dxa"/>
            <w:hideMark/>
          </w:tcPr>
          <w:p w14:paraId="181666D3" w14:textId="77777777" w:rsidR="00BB0078" w:rsidRPr="00E33E20" w:rsidRDefault="00BB0078" w:rsidP="009174FD">
            <w:pPr>
              <w:jc w:val="both"/>
              <w:rPr>
                <w:rFonts w:ascii="Arial" w:eastAsia="Times New Roman" w:hAnsi="Arial" w:cs="Arial"/>
                <w:b/>
                <w:bCs/>
                <w:sz w:val="24"/>
                <w:szCs w:val="24"/>
                <w:lang w:val="en-US" w:eastAsia="et-EE"/>
              </w:rPr>
            </w:pPr>
            <w:r w:rsidRPr="00E33E20">
              <w:rPr>
                <w:rFonts w:ascii="Arial" w:eastAsia="Times New Roman" w:hAnsi="Arial" w:cs="Arial"/>
                <w:b/>
                <w:bCs/>
                <w:sz w:val="24"/>
                <w:szCs w:val="24"/>
                <w:lang w:val="en-US" w:eastAsia="et-EE"/>
              </w:rPr>
              <w:t>Industry and construction</w:t>
            </w:r>
          </w:p>
        </w:tc>
        <w:tc>
          <w:tcPr>
            <w:tcW w:w="1400" w:type="dxa"/>
            <w:noWrap/>
            <w:hideMark/>
          </w:tcPr>
          <w:p w14:paraId="2E735EB5" w14:textId="77777777" w:rsidR="00BB0078" w:rsidRPr="00E33E20" w:rsidRDefault="00BB0078" w:rsidP="009174FD">
            <w:pPr>
              <w:jc w:val="both"/>
              <w:rPr>
                <w:rFonts w:ascii="Arial" w:eastAsia="Times New Roman" w:hAnsi="Arial" w:cs="Arial"/>
                <w:b/>
                <w:bCs/>
                <w:sz w:val="24"/>
                <w:szCs w:val="24"/>
                <w:lang w:val="en-US" w:eastAsia="et-EE"/>
              </w:rPr>
            </w:pPr>
            <w:r w:rsidRPr="00E33E20">
              <w:rPr>
                <w:rFonts w:ascii="Arial" w:eastAsia="Times New Roman" w:hAnsi="Arial" w:cs="Arial"/>
                <w:b/>
                <w:bCs/>
                <w:sz w:val="24"/>
                <w:szCs w:val="24"/>
                <w:lang w:val="en-US" w:eastAsia="et-EE"/>
              </w:rPr>
              <w:t>Services</w:t>
            </w:r>
          </w:p>
        </w:tc>
      </w:tr>
      <w:tr w:rsidR="0067213D" w:rsidRPr="00E33E20" w14:paraId="0B6769BA" w14:textId="77777777" w:rsidTr="00865208">
        <w:trPr>
          <w:trHeight w:val="290"/>
        </w:trPr>
        <w:tc>
          <w:tcPr>
            <w:tcW w:w="1020" w:type="dxa"/>
            <w:noWrap/>
            <w:hideMark/>
          </w:tcPr>
          <w:p w14:paraId="2AC887DD"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Men</w:t>
            </w:r>
          </w:p>
        </w:tc>
        <w:tc>
          <w:tcPr>
            <w:tcW w:w="1020" w:type="dxa"/>
            <w:noWrap/>
            <w:hideMark/>
          </w:tcPr>
          <w:p w14:paraId="6A10F064"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2022</w:t>
            </w:r>
          </w:p>
        </w:tc>
        <w:tc>
          <w:tcPr>
            <w:tcW w:w="1480" w:type="dxa"/>
            <w:noWrap/>
            <w:hideMark/>
          </w:tcPr>
          <w:p w14:paraId="26E314A1"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4</w:t>
            </w:r>
          </w:p>
        </w:tc>
        <w:tc>
          <w:tcPr>
            <w:tcW w:w="1420" w:type="dxa"/>
            <w:noWrap/>
            <w:hideMark/>
          </w:tcPr>
          <w:p w14:paraId="709B3855"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41</w:t>
            </w:r>
          </w:p>
        </w:tc>
        <w:tc>
          <w:tcPr>
            <w:tcW w:w="1400" w:type="dxa"/>
            <w:noWrap/>
            <w:hideMark/>
          </w:tcPr>
          <w:p w14:paraId="0DCCF889"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56</w:t>
            </w:r>
          </w:p>
        </w:tc>
      </w:tr>
      <w:tr w:rsidR="0067213D" w:rsidRPr="00E33E20" w14:paraId="6C9987BC" w14:textId="77777777" w:rsidTr="00865208">
        <w:trPr>
          <w:trHeight w:val="290"/>
        </w:trPr>
        <w:tc>
          <w:tcPr>
            <w:tcW w:w="1020" w:type="dxa"/>
            <w:noWrap/>
            <w:hideMark/>
          </w:tcPr>
          <w:p w14:paraId="194FC2C3"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 </w:t>
            </w:r>
          </w:p>
        </w:tc>
        <w:tc>
          <w:tcPr>
            <w:tcW w:w="1020" w:type="dxa"/>
            <w:noWrap/>
            <w:hideMark/>
          </w:tcPr>
          <w:p w14:paraId="23EF838A"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2023</w:t>
            </w:r>
          </w:p>
        </w:tc>
        <w:tc>
          <w:tcPr>
            <w:tcW w:w="1480" w:type="dxa"/>
            <w:noWrap/>
            <w:hideMark/>
          </w:tcPr>
          <w:p w14:paraId="369610A9"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4</w:t>
            </w:r>
          </w:p>
        </w:tc>
        <w:tc>
          <w:tcPr>
            <w:tcW w:w="1420" w:type="dxa"/>
            <w:noWrap/>
            <w:hideMark/>
          </w:tcPr>
          <w:p w14:paraId="360A00D5"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40</w:t>
            </w:r>
          </w:p>
        </w:tc>
        <w:tc>
          <w:tcPr>
            <w:tcW w:w="1400" w:type="dxa"/>
            <w:noWrap/>
            <w:hideMark/>
          </w:tcPr>
          <w:p w14:paraId="38CEB243"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56</w:t>
            </w:r>
          </w:p>
        </w:tc>
      </w:tr>
      <w:tr w:rsidR="0067213D" w:rsidRPr="00E33E20" w14:paraId="3744BD75" w14:textId="77777777" w:rsidTr="00865208">
        <w:trPr>
          <w:trHeight w:val="290"/>
        </w:trPr>
        <w:tc>
          <w:tcPr>
            <w:tcW w:w="1020" w:type="dxa"/>
            <w:noWrap/>
            <w:hideMark/>
          </w:tcPr>
          <w:p w14:paraId="58F91781"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 </w:t>
            </w:r>
          </w:p>
        </w:tc>
        <w:tc>
          <w:tcPr>
            <w:tcW w:w="1020" w:type="dxa"/>
            <w:noWrap/>
            <w:hideMark/>
          </w:tcPr>
          <w:p w14:paraId="67079264"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2024</w:t>
            </w:r>
          </w:p>
        </w:tc>
        <w:tc>
          <w:tcPr>
            <w:tcW w:w="1480" w:type="dxa"/>
            <w:noWrap/>
            <w:hideMark/>
          </w:tcPr>
          <w:p w14:paraId="28880110"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5</w:t>
            </w:r>
          </w:p>
        </w:tc>
        <w:tc>
          <w:tcPr>
            <w:tcW w:w="1420" w:type="dxa"/>
            <w:noWrap/>
            <w:hideMark/>
          </w:tcPr>
          <w:p w14:paraId="049D8A86"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39</w:t>
            </w:r>
          </w:p>
        </w:tc>
        <w:tc>
          <w:tcPr>
            <w:tcW w:w="1400" w:type="dxa"/>
            <w:noWrap/>
            <w:hideMark/>
          </w:tcPr>
          <w:p w14:paraId="2AD7E3A3"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56</w:t>
            </w:r>
          </w:p>
        </w:tc>
      </w:tr>
      <w:tr w:rsidR="0067213D" w:rsidRPr="00E33E20" w14:paraId="7894F660" w14:textId="77777777" w:rsidTr="00865208">
        <w:trPr>
          <w:trHeight w:val="290"/>
        </w:trPr>
        <w:tc>
          <w:tcPr>
            <w:tcW w:w="1020" w:type="dxa"/>
            <w:noWrap/>
            <w:hideMark/>
          </w:tcPr>
          <w:p w14:paraId="6324F1CA"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Women</w:t>
            </w:r>
          </w:p>
        </w:tc>
        <w:tc>
          <w:tcPr>
            <w:tcW w:w="1020" w:type="dxa"/>
            <w:noWrap/>
            <w:hideMark/>
          </w:tcPr>
          <w:p w14:paraId="1B5CCCBE"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2022</w:t>
            </w:r>
          </w:p>
        </w:tc>
        <w:tc>
          <w:tcPr>
            <w:tcW w:w="1480" w:type="dxa"/>
            <w:noWrap/>
            <w:hideMark/>
          </w:tcPr>
          <w:p w14:paraId="52276040"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2</w:t>
            </w:r>
          </w:p>
        </w:tc>
        <w:tc>
          <w:tcPr>
            <w:tcW w:w="1420" w:type="dxa"/>
            <w:noWrap/>
            <w:hideMark/>
          </w:tcPr>
          <w:p w14:paraId="4BA45F2D"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16</w:t>
            </w:r>
          </w:p>
        </w:tc>
        <w:tc>
          <w:tcPr>
            <w:tcW w:w="1400" w:type="dxa"/>
            <w:noWrap/>
            <w:hideMark/>
          </w:tcPr>
          <w:p w14:paraId="7BE418B6"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82</w:t>
            </w:r>
          </w:p>
        </w:tc>
      </w:tr>
      <w:tr w:rsidR="0067213D" w:rsidRPr="00E33E20" w14:paraId="520C0828" w14:textId="77777777" w:rsidTr="00865208">
        <w:trPr>
          <w:trHeight w:val="290"/>
        </w:trPr>
        <w:tc>
          <w:tcPr>
            <w:tcW w:w="1020" w:type="dxa"/>
            <w:noWrap/>
            <w:hideMark/>
          </w:tcPr>
          <w:p w14:paraId="05BCAF40"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 </w:t>
            </w:r>
          </w:p>
        </w:tc>
        <w:tc>
          <w:tcPr>
            <w:tcW w:w="1020" w:type="dxa"/>
            <w:noWrap/>
            <w:hideMark/>
          </w:tcPr>
          <w:p w14:paraId="329BCCCB"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2023</w:t>
            </w:r>
          </w:p>
        </w:tc>
        <w:tc>
          <w:tcPr>
            <w:tcW w:w="1480" w:type="dxa"/>
            <w:noWrap/>
            <w:hideMark/>
          </w:tcPr>
          <w:p w14:paraId="1E0C5779"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1</w:t>
            </w:r>
          </w:p>
        </w:tc>
        <w:tc>
          <w:tcPr>
            <w:tcW w:w="1420" w:type="dxa"/>
            <w:noWrap/>
            <w:hideMark/>
          </w:tcPr>
          <w:p w14:paraId="5A847A9F"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15</w:t>
            </w:r>
          </w:p>
        </w:tc>
        <w:tc>
          <w:tcPr>
            <w:tcW w:w="1400" w:type="dxa"/>
            <w:noWrap/>
            <w:hideMark/>
          </w:tcPr>
          <w:p w14:paraId="27611269"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84</w:t>
            </w:r>
          </w:p>
        </w:tc>
      </w:tr>
      <w:tr w:rsidR="0067213D" w:rsidRPr="00E33E20" w14:paraId="1696AF0A" w14:textId="77777777" w:rsidTr="00865208">
        <w:trPr>
          <w:trHeight w:val="290"/>
        </w:trPr>
        <w:tc>
          <w:tcPr>
            <w:tcW w:w="1020" w:type="dxa"/>
            <w:noWrap/>
            <w:hideMark/>
          </w:tcPr>
          <w:p w14:paraId="32A1C158"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 </w:t>
            </w:r>
          </w:p>
        </w:tc>
        <w:tc>
          <w:tcPr>
            <w:tcW w:w="1020" w:type="dxa"/>
            <w:noWrap/>
            <w:hideMark/>
          </w:tcPr>
          <w:p w14:paraId="02832C82"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2024</w:t>
            </w:r>
          </w:p>
        </w:tc>
        <w:tc>
          <w:tcPr>
            <w:tcW w:w="1480" w:type="dxa"/>
            <w:noWrap/>
            <w:hideMark/>
          </w:tcPr>
          <w:p w14:paraId="7D4F1B0A"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2</w:t>
            </w:r>
          </w:p>
        </w:tc>
        <w:tc>
          <w:tcPr>
            <w:tcW w:w="1420" w:type="dxa"/>
            <w:noWrap/>
            <w:hideMark/>
          </w:tcPr>
          <w:p w14:paraId="5ECD4818"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14</w:t>
            </w:r>
          </w:p>
        </w:tc>
        <w:tc>
          <w:tcPr>
            <w:tcW w:w="1400" w:type="dxa"/>
            <w:noWrap/>
            <w:hideMark/>
          </w:tcPr>
          <w:p w14:paraId="04539C0F" w14:textId="77777777" w:rsidR="00BB0078" w:rsidRPr="00E33E20" w:rsidRDefault="00BB0078" w:rsidP="009174FD">
            <w:pPr>
              <w:jc w:val="both"/>
              <w:rPr>
                <w:rFonts w:ascii="Arial" w:eastAsia="Times New Roman" w:hAnsi="Arial" w:cs="Arial"/>
                <w:sz w:val="24"/>
                <w:szCs w:val="24"/>
                <w:lang w:val="en-US" w:eastAsia="et-EE"/>
              </w:rPr>
            </w:pPr>
            <w:r w:rsidRPr="00E33E20">
              <w:rPr>
                <w:rFonts w:ascii="Arial" w:eastAsia="Times New Roman" w:hAnsi="Arial" w:cs="Arial"/>
                <w:sz w:val="24"/>
                <w:szCs w:val="24"/>
                <w:lang w:val="en-US" w:eastAsia="et-EE"/>
              </w:rPr>
              <w:t>84</w:t>
            </w:r>
          </w:p>
        </w:tc>
      </w:tr>
    </w:tbl>
    <w:p w14:paraId="75ED9D64" w14:textId="77777777" w:rsidR="00484308" w:rsidRPr="00E33E20" w:rsidRDefault="00484308" w:rsidP="009174FD">
      <w:pPr>
        <w:spacing w:after="0" w:line="240" w:lineRule="auto"/>
        <w:jc w:val="both"/>
        <w:rPr>
          <w:rFonts w:ascii="Arial" w:hAnsi="Arial" w:cs="Arial"/>
          <w:sz w:val="24"/>
          <w:szCs w:val="24"/>
          <w:lang w:val="en-US"/>
        </w:rPr>
      </w:pPr>
    </w:p>
    <w:p w14:paraId="789E42E8" w14:textId="4ABB6E58" w:rsidR="00484308" w:rsidRPr="00E33E20" w:rsidRDefault="00BB0078" w:rsidP="00BB64D9">
      <w:pPr>
        <w:pStyle w:val="Pealkiri3"/>
        <w:spacing w:before="0" w:line="240" w:lineRule="auto"/>
        <w:ind w:right="305"/>
        <w:jc w:val="both"/>
        <w:rPr>
          <w:rFonts w:ascii="Arial" w:hAnsi="Arial" w:cs="Arial"/>
          <w:i/>
          <w:iCs/>
          <w:color w:val="auto"/>
          <w:lang w:val="en-US"/>
        </w:rPr>
      </w:pPr>
      <w:r w:rsidRPr="00E33E20">
        <w:rPr>
          <w:rFonts w:ascii="Arial" w:hAnsi="Arial" w:cs="Arial"/>
          <w:i/>
          <w:iCs/>
          <w:color w:val="auto"/>
          <w:lang w:val="en-US"/>
        </w:rPr>
        <w:t>Table: Employed population by gender and occupation, 2024, %</w:t>
      </w:r>
    </w:p>
    <w:tbl>
      <w:tblPr>
        <w:tblStyle w:val="Helekontuurtabel"/>
        <w:tblW w:w="0" w:type="auto"/>
        <w:tblLayout w:type="fixed"/>
        <w:tblLook w:val="06A0" w:firstRow="1" w:lastRow="0" w:firstColumn="1" w:lastColumn="0" w:noHBand="1" w:noVBand="1"/>
      </w:tblPr>
      <w:tblGrid>
        <w:gridCol w:w="3250"/>
        <w:gridCol w:w="1233"/>
        <w:gridCol w:w="1267"/>
      </w:tblGrid>
      <w:tr w:rsidR="0067213D" w:rsidRPr="00E33E20" w14:paraId="0D377E9A" w14:textId="77777777" w:rsidTr="00865208">
        <w:trPr>
          <w:trHeight w:val="285"/>
        </w:trPr>
        <w:tc>
          <w:tcPr>
            <w:tcW w:w="3250" w:type="dxa"/>
          </w:tcPr>
          <w:p w14:paraId="51B5D9D3" w14:textId="77777777" w:rsidR="00BB0078" w:rsidRPr="00E33E20" w:rsidRDefault="00BB0078" w:rsidP="009174FD">
            <w:pPr>
              <w:jc w:val="both"/>
              <w:rPr>
                <w:rFonts w:ascii="Arial" w:eastAsia="Calibri" w:hAnsi="Arial" w:cs="Arial"/>
                <w:sz w:val="24"/>
                <w:szCs w:val="24"/>
                <w:lang w:val="en-US"/>
              </w:rPr>
            </w:pPr>
          </w:p>
        </w:tc>
        <w:tc>
          <w:tcPr>
            <w:tcW w:w="1233" w:type="dxa"/>
          </w:tcPr>
          <w:p w14:paraId="48724985" w14:textId="77777777" w:rsidR="00BB0078" w:rsidRPr="00E33E20" w:rsidRDefault="00BB0078" w:rsidP="009174FD">
            <w:pPr>
              <w:jc w:val="both"/>
              <w:rPr>
                <w:rFonts w:ascii="Arial" w:eastAsia="Calibri" w:hAnsi="Arial" w:cs="Arial"/>
                <w:b/>
                <w:bCs/>
                <w:sz w:val="24"/>
                <w:szCs w:val="24"/>
                <w:lang w:val="en-US"/>
              </w:rPr>
            </w:pPr>
            <w:r w:rsidRPr="00E33E20">
              <w:rPr>
                <w:rFonts w:ascii="Arial" w:eastAsia="Calibri" w:hAnsi="Arial" w:cs="Arial"/>
                <w:b/>
                <w:bCs/>
                <w:sz w:val="24"/>
                <w:szCs w:val="24"/>
                <w:lang w:val="en-US"/>
              </w:rPr>
              <w:t>Men</w:t>
            </w:r>
          </w:p>
        </w:tc>
        <w:tc>
          <w:tcPr>
            <w:tcW w:w="1267" w:type="dxa"/>
          </w:tcPr>
          <w:p w14:paraId="637B534C" w14:textId="77777777" w:rsidR="00BB0078" w:rsidRPr="00E33E20" w:rsidRDefault="00BB0078" w:rsidP="009174FD">
            <w:pPr>
              <w:jc w:val="both"/>
              <w:rPr>
                <w:rFonts w:ascii="Arial" w:eastAsia="Calibri" w:hAnsi="Arial" w:cs="Arial"/>
                <w:b/>
                <w:bCs/>
                <w:sz w:val="24"/>
                <w:szCs w:val="24"/>
                <w:lang w:val="en-US"/>
              </w:rPr>
            </w:pPr>
            <w:r w:rsidRPr="00E33E20">
              <w:rPr>
                <w:rFonts w:ascii="Arial" w:eastAsia="Calibri" w:hAnsi="Arial" w:cs="Arial"/>
                <w:b/>
                <w:bCs/>
                <w:sz w:val="24"/>
                <w:szCs w:val="24"/>
                <w:lang w:val="en-US"/>
              </w:rPr>
              <w:t>Women</w:t>
            </w:r>
          </w:p>
        </w:tc>
      </w:tr>
      <w:tr w:rsidR="0067213D" w:rsidRPr="00E33E20" w14:paraId="4D1D315D" w14:textId="77777777" w:rsidTr="00865208">
        <w:trPr>
          <w:trHeight w:val="285"/>
        </w:trPr>
        <w:tc>
          <w:tcPr>
            <w:tcW w:w="3250" w:type="dxa"/>
          </w:tcPr>
          <w:p w14:paraId="25009451"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Managers</w:t>
            </w:r>
          </w:p>
        </w:tc>
        <w:tc>
          <w:tcPr>
            <w:tcW w:w="1233" w:type="dxa"/>
          </w:tcPr>
          <w:p w14:paraId="2246AE03"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8,9</w:t>
            </w:r>
          </w:p>
        </w:tc>
        <w:tc>
          <w:tcPr>
            <w:tcW w:w="1267" w:type="dxa"/>
          </w:tcPr>
          <w:p w14:paraId="0C8E609D"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5,8</w:t>
            </w:r>
          </w:p>
        </w:tc>
      </w:tr>
      <w:tr w:rsidR="0067213D" w:rsidRPr="00E33E20" w14:paraId="0A47FFF0" w14:textId="77777777" w:rsidTr="00865208">
        <w:trPr>
          <w:trHeight w:val="285"/>
        </w:trPr>
        <w:tc>
          <w:tcPr>
            <w:tcW w:w="3250" w:type="dxa"/>
          </w:tcPr>
          <w:p w14:paraId="73FB9DD0"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Professionals</w:t>
            </w:r>
          </w:p>
        </w:tc>
        <w:tc>
          <w:tcPr>
            <w:tcW w:w="1233" w:type="dxa"/>
          </w:tcPr>
          <w:p w14:paraId="16E23D62"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17,9</w:t>
            </w:r>
          </w:p>
        </w:tc>
        <w:tc>
          <w:tcPr>
            <w:tcW w:w="1267" w:type="dxa"/>
          </w:tcPr>
          <w:p w14:paraId="0059A628"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31,9</w:t>
            </w:r>
          </w:p>
        </w:tc>
      </w:tr>
      <w:tr w:rsidR="0067213D" w:rsidRPr="00E33E20" w14:paraId="4EC2E4BE" w14:textId="77777777" w:rsidTr="00865208">
        <w:trPr>
          <w:trHeight w:val="600"/>
        </w:trPr>
        <w:tc>
          <w:tcPr>
            <w:tcW w:w="3250" w:type="dxa"/>
          </w:tcPr>
          <w:p w14:paraId="07323E88"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Technicians and associate professionals</w:t>
            </w:r>
          </w:p>
        </w:tc>
        <w:tc>
          <w:tcPr>
            <w:tcW w:w="1233" w:type="dxa"/>
          </w:tcPr>
          <w:p w14:paraId="2D95ACEF"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12,9</w:t>
            </w:r>
          </w:p>
        </w:tc>
        <w:tc>
          <w:tcPr>
            <w:tcW w:w="1267" w:type="dxa"/>
          </w:tcPr>
          <w:p w14:paraId="6218069F"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15,5</w:t>
            </w:r>
          </w:p>
        </w:tc>
      </w:tr>
      <w:tr w:rsidR="0067213D" w:rsidRPr="00E33E20" w14:paraId="2CAB3098" w14:textId="77777777" w:rsidTr="00865208">
        <w:trPr>
          <w:trHeight w:val="390"/>
        </w:trPr>
        <w:tc>
          <w:tcPr>
            <w:tcW w:w="3250" w:type="dxa"/>
          </w:tcPr>
          <w:p w14:paraId="25CE24D7"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Clerical support workers</w:t>
            </w:r>
          </w:p>
        </w:tc>
        <w:tc>
          <w:tcPr>
            <w:tcW w:w="1233" w:type="dxa"/>
          </w:tcPr>
          <w:p w14:paraId="70682172"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4,9</w:t>
            </w:r>
          </w:p>
        </w:tc>
        <w:tc>
          <w:tcPr>
            <w:tcW w:w="1267" w:type="dxa"/>
          </w:tcPr>
          <w:p w14:paraId="65D80E58"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8,7</w:t>
            </w:r>
          </w:p>
        </w:tc>
      </w:tr>
      <w:tr w:rsidR="0067213D" w:rsidRPr="00E33E20" w14:paraId="07F2025B" w14:textId="77777777" w:rsidTr="00865208">
        <w:trPr>
          <w:trHeight w:val="345"/>
        </w:trPr>
        <w:tc>
          <w:tcPr>
            <w:tcW w:w="3250" w:type="dxa"/>
          </w:tcPr>
          <w:p w14:paraId="3E73FCE7"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Service and sales workers</w:t>
            </w:r>
          </w:p>
        </w:tc>
        <w:tc>
          <w:tcPr>
            <w:tcW w:w="1233" w:type="dxa"/>
          </w:tcPr>
          <w:p w14:paraId="02BA00EA"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5,7</w:t>
            </w:r>
          </w:p>
        </w:tc>
        <w:tc>
          <w:tcPr>
            <w:tcW w:w="1267" w:type="dxa"/>
          </w:tcPr>
          <w:p w14:paraId="34C1C010"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19,5</w:t>
            </w:r>
          </w:p>
        </w:tc>
      </w:tr>
      <w:tr w:rsidR="0067213D" w:rsidRPr="00E33E20" w14:paraId="4E44AE92" w14:textId="77777777" w:rsidTr="00865208">
        <w:trPr>
          <w:trHeight w:val="600"/>
        </w:trPr>
        <w:tc>
          <w:tcPr>
            <w:tcW w:w="3250" w:type="dxa"/>
          </w:tcPr>
          <w:p w14:paraId="6A510DAF"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Skilled agricultural, forestry and fishery workers</w:t>
            </w:r>
          </w:p>
        </w:tc>
        <w:tc>
          <w:tcPr>
            <w:tcW w:w="1233" w:type="dxa"/>
          </w:tcPr>
          <w:p w14:paraId="4286EE5B"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1,8</w:t>
            </w:r>
          </w:p>
        </w:tc>
        <w:tc>
          <w:tcPr>
            <w:tcW w:w="1267" w:type="dxa"/>
          </w:tcPr>
          <w:p w14:paraId="4D72F598"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0,9</w:t>
            </w:r>
          </w:p>
        </w:tc>
      </w:tr>
      <w:tr w:rsidR="0067213D" w:rsidRPr="00E33E20" w14:paraId="27DD2491" w14:textId="77777777" w:rsidTr="00865208">
        <w:trPr>
          <w:trHeight w:val="585"/>
        </w:trPr>
        <w:tc>
          <w:tcPr>
            <w:tcW w:w="3250" w:type="dxa"/>
          </w:tcPr>
          <w:p w14:paraId="3BE9F586"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Craft and related trades workers</w:t>
            </w:r>
          </w:p>
        </w:tc>
        <w:tc>
          <w:tcPr>
            <w:tcW w:w="1233" w:type="dxa"/>
          </w:tcPr>
          <w:p w14:paraId="197CF165"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24,7</w:t>
            </w:r>
          </w:p>
        </w:tc>
        <w:tc>
          <w:tcPr>
            <w:tcW w:w="1267" w:type="dxa"/>
          </w:tcPr>
          <w:p w14:paraId="69456FC1"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3,4</w:t>
            </w:r>
          </w:p>
        </w:tc>
      </w:tr>
      <w:tr w:rsidR="0067213D" w:rsidRPr="00E33E20" w14:paraId="1CC24019" w14:textId="77777777" w:rsidTr="00865208">
        <w:trPr>
          <w:trHeight w:val="570"/>
        </w:trPr>
        <w:tc>
          <w:tcPr>
            <w:tcW w:w="3250" w:type="dxa"/>
          </w:tcPr>
          <w:p w14:paraId="69D0A644"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Plant and machine operators and assemblers</w:t>
            </w:r>
          </w:p>
        </w:tc>
        <w:tc>
          <w:tcPr>
            <w:tcW w:w="1233" w:type="dxa"/>
          </w:tcPr>
          <w:p w14:paraId="04876582"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15,3</w:t>
            </w:r>
          </w:p>
        </w:tc>
        <w:tc>
          <w:tcPr>
            <w:tcW w:w="1267" w:type="dxa"/>
          </w:tcPr>
          <w:p w14:paraId="594DE7CB"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4,5</w:t>
            </w:r>
          </w:p>
        </w:tc>
      </w:tr>
      <w:tr w:rsidR="0067213D" w:rsidRPr="00E33E20" w14:paraId="0638788B" w14:textId="77777777" w:rsidTr="00865208">
        <w:trPr>
          <w:trHeight w:val="390"/>
        </w:trPr>
        <w:tc>
          <w:tcPr>
            <w:tcW w:w="3250" w:type="dxa"/>
          </w:tcPr>
          <w:p w14:paraId="6321C164"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Elementary occupations</w:t>
            </w:r>
          </w:p>
        </w:tc>
        <w:tc>
          <w:tcPr>
            <w:tcW w:w="1233" w:type="dxa"/>
          </w:tcPr>
          <w:p w14:paraId="21051004"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7,4</w:t>
            </w:r>
          </w:p>
        </w:tc>
        <w:tc>
          <w:tcPr>
            <w:tcW w:w="1267" w:type="dxa"/>
          </w:tcPr>
          <w:p w14:paraId="5A443880" w14:textId="77777777" w:rsidR="00BB0078" w:rsidRPr="00E33E20" w:rsidRDefault="00BB0078" w:rsidP="009174FD">
            <w:pPr>
              <w:jc w:val="both"/>
              <w:rPr>
                <w:rFonts w:ascii="Arial" w:eastAsia="Calibri" w:hAnsi="Arial" w:cs="Arial"/>
                <w:sz w:val="24"/>
                <w:szCs w:val="24"/>
                <w:lang w:val="en-US"/>
              </w:rPr>
            </w:pPr>
            <w:r w:rsidRPr="00E33E20">
              <w:rPr>
                <w:rFonts w:ascii="Arial" w:eastAsia="Calibri" w:hAnsi="Arial" w:cs="Arial"/>
                <w:sz w:val="24"/>
                <w:szCs w:val="24"/>
                <w:lang w:val="en-US"/>
              </w:rPr>
              <w:t>9,9</w:t>
            </w:r>
          </w:p>
        </w:tc>
      </w:tr>
    </w:tbl>
    <w:p w14:paraId="1EA1FF55" w14:textId="77777777" w:rsidR="002233B2" w:rsidRPr="00E33E20" w:rsidRDefault="002233B2" w:rsidP="009174FD">
      <w:pPr>
        <w:autoSpaceDE w:val="0"/>
        <w:autoSpaceDN w:val="0"/>
        <w:adjustRightInd w:val="0"/>
        <w:spacing w:after="0" w:line="240" w:lineRule="auto"/>
        <w:jc w:val="both"/>
        <w:rPr>
          <w:rFonts w:ascii="Arial" w:hAnsi="Arial" w:cs="Arial"/>
          <w:b/>
          <w:sz w:val="24"/>
          <w:szCs w:val="24"/>
          <w:lang w:val="en-US"/>
        </w:rPr>
      </w:pPr>
    </w:p>
    <w:p w14:paraId="22FBE9C2" w14:textId="4E2BFC3A" w:rsidR="002233B2" w:rsidRPr="00E33E20" w:rsidRDefault="0080400F" w:rsidP="009174FD">
      <w:pPr>
        <w:autoSpaceDE w:val="0"/>
        <w:autoSpaceDN w:val="0"/>
        <w:adjustRightInd w:val="0"/>
        <w:spacing w:after="0" w:line="240" w:lineRule="auto"/>
        <w:jc w:val="both"/>
        <w:rPr>
          <w:rFonts w:ascii="Arial" w:hAnsi="Arial" w:cs="Arial"/>
          <w:b/>
          <w:sz w:val="24"/>
          <w:szCs w:val="24"/>
          <w:lang w:val="en-US"/>
        </w:rPr>
      </w:pPr>
      <w:r w:rsidRPr="00E33E20">
        <w:rPr>
          <w:rFonts w:ascii="Arial" w:hAnsi="Arial" w:cs="Arial"/>
          <w:b/>
          <w:sz w:val="24"/>
          <w:szCs w:val="24"/>
          <w:lang w:val="en-US"/>
        </w:rPr>
        <w:t>Gender E</w:t>
      </w:r>
      <w:r w:rsidR="00593EDF" w:rsidRPr="00E33E20">
        <w:rPr>
          <w:rFonts w:ascii="Arial" w:hAnsi="Arial" w:cs="Arial"/>
          <w:b/>
          <w:sz w:val="24"/>
          <w:szCs w:val="24"/>
          <w:lang w:val="en-US"/>
        </w:rPr>
        <w:t>quality and Equal Treatment Commissioner</w:t>
      </w:r>
    </w:p>
    <w:p w14:paraId="01646236" w14:textId="77777777" w:rsidR="00593EDF" w:rsidRPr="00E33E20" w:rsidRDefault="00593EDF" w:rsidP="009174FD">
      <w:pPr>
        <w:autoSpaceDE w:val="0"/>
        <w:autoSpaceDN w:val="0"/>
        <w:adjustRightInd w:val="0"/>
        <w:spacing w:after="0" w:line="240" w:lineRule="auto"/>
        <w:jc w:val="both"/>
        <w:rPr>
          <w:rFonts w:ascii="Arial" w:hAnsi="Arial" w:cs="Arial"/>
          <w:b/>
          <w:sz w:val="24"/>
          <w:szCs w:val="24"/>
          <w:lang w:val="en-US"/>
        </w:rPr>
      </w:pPr>
    </w:p>
    <w:p w14:paraId="76CCA023" w14:textId="20268D93" w:rsidR="002B6084" w:rsidRPr="00E33E20" w:rsidRDefault="002B6084"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In 2024, the Commissioner received 230 enquiries.</w:t>
      </w:r>
      <w:r w:rsidRPr="00E33E20">
        <w:rPr>
          <w:rFonts w:ascii="Arial" w:hAnsi="Arial" w:cs="Arial"/>
          <w:sz w:val="24"/>
          <w:szCs w:val="24"/>
          <w:lang w:val="en-US"/>
        </w:rPr>
        <w:br/>
        <w:t>Compared to the previous year (198 enquiries in 2023), the number of enquiries increased.</w:t>
      </w:r>
      <w:r w:rsidR="00062E97" w:rsidRPr="00E33E20">
        <w:rPr>
          <w:rFonts w:ascii="Arial" w:hAnsi="Arial" w:cs="Arial"/>
          <w:sz w:val="24"/>
          <w:szCs w:val="24"/>
          <w:lang w:val="en-US"/>
        </w:rPr>
        <w:t xml:space="preserve"> </w:t>
      </w:r>
      <w:r w:rsidRPr="00E33E20">
        <w:rPr>
          <w:rFonts w:ascii="Arial" w:hAnsi="Arial" w:cs="Arial"/>
          <w:sz w:val="24"/>
          <w:szCs w:val="24"/>
          <w:lang w:val="en-US"/>
        </w:rPr>
        <w:t>This rise in numbers may indicate greater visibility of the Commissioner’s institution and growing public trust in it.</w:t>
      </w:r>
    </w:p>
    <w:p w14:paraId="739AF43C" w14:textId="77777777" w:rsidR="00BB64D9" w:rsidRPr="00E33E20" w:rsidRDefault="00BB64D9" w:rsidP="009174FD">
      <w:pPr>
        <w:spacing w:after="0" w:line="240" w:lineRule="auto"/>
        <w:jc w:val="both"/>
        <w:rPr>
          <w:rFonts w:ascii="Arial" w:hAnsi="Arial" w:cs="Arial"/>
          <w:sz w:val="24"/>
          <w:szCs w:val="24"/>
          <w:lang w:val="en-US"/>
        </w:rPr>
      </w:pPr>
    </w:p>
    <w:p w14:paraId="232859D3" w14:textId="77777777" w:rsidR="002B6084" w:rsidRPr="00E33E20" w:rsidRDefault="002B6084"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Most enquiries were related to gender (47 enquiries), disability (21), and ethnicity (20).</w:t>
      </w:r>
    </w:p>
    <w:p w14:paraId="24B41D0E" w14:textId="136327E6" w:rsidR="002B6084" w:rsidRPr="00E33E20" w:rsidRDefault="002B6084"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 xml:space="preserve">While the scope of the Gender Equality Act is broad, the Equal Treatment Act links protected characteristics to specific fields in which the Commissioner has the authority to investigate cases based on those characteristics. Therefore, a significant number of enquiries fall outside the Commissioner’s competence resulting </w:t>
      </w:r>
      <w:proofErr w:type="gramStart"/>
      <w:r w:rsidRPr="00E33E20">
        <w:rPr>
          <w:rFonts w:ascii="Arial" w:hAnsi="Arial" w:cs="Arial"/>
          <w:sz w:val="24"/>
          <w:szCs w:val="24"/>
          <w:lang w:val="en-US"/>
        </w:rPr>
        <w:t>in</w:t>
      </w:r>
      <w:proofErr w:type="gramEnd"/>
      <w:r w:rsidRPr="00E33E20">
        <w:rPr>
          <w:rFonts w:ascii="Arial" w:hAnsi="Arial" w:cs="Arial"/>
          <w:sz w:val="24"/>
          <w:szCs w:val="24"/>
          <w:lang w:val="en-US"/>
        </w:rPr>
        <w:t xml:space="preserve"> not being able to form an opinion or </w:t>
      </w:r>
      <w:proofErr w:type="gramStart"/>
      <w:r w:rsidRPr="00E33E20">
        <w:rPr>
          <w:rFonts w:ascii="Arial" w:hAnsi="Arial" w:cs="Arial"/>
          <w:sz w:val="24"/>
          <w:szCs w:val="24"/>
          <w:lang w:val="en-US"/>
        </w:rPr>
        <w:t>offer assistance</w:t>
      </w:r>
      <w:proofErr w:type="gramEnd"/>
      <w:r w:rsidRPr="00E33E20">
        <w:rPr>
          <w:rFonts w:ascii="Arial" w:hAnsi="Arial" w:cs="Arial"/>
          <w:sz w:val="24"/>
          <w:szCs w:val="24"/>
          <w:lang w:val="en-US"/>
        </w:rPr>
        <w:t xml:space="preserve">. </w:t>
      </w:r>
      <w:proofErr w:type="gramStart"/>
      <w:r w:rsidRPr="00E33E20">
        <w:rPr>
          <w:rFonts w:ascii="Arial" w:hAnsi="Arial" w:cs="Arial"/>
          <w:sz w:val="24"/>
          <w:szCs w:val="24"/>
          <w:lang w:val="en-US"/>
        </w:rPr>
        <w:t>All though</w:t>
      </w:r>
      <w:proofErr w:type="gramEnd"/>
      <w:r w:rsidRPr="00E33E20">
        <w:rPr>
          <w:rFonts w:ascii="Arial" w:hAnsi="Arial" w:cs="Arial"/>
          <w:sz w:val="24"/>
          <w:szCs w:val="24"/>
          <w:lang w:val="en-US"/>
        </w:rPr>
        <w:t xml:space="preserve"> in these cases the Commissioner advises the person with relevant </w:t>
      </w:r>
      <w:proofErr w:type="gramStart"/>
      <w:r w:rsidRPr="00E33E20">
        <w:rPr>
          <w:rFonts w:ascii="Arial" w:hAnsi="Arial" w:cs="Arial"/>
          <w:sz w:val="24"/>
          <w:szCs w:val="24"/>
          <w:lang w:val="en-US"/>
        </w:rPr>
        <w:t>information</w:t>
      </w:r>
      <w:proofErr w:type="gramEnd"/>
      <w:r w:rsidRPr="00E33E20">
        <w:rPr>
          <w:rFonts w:ascii="Arial" w:hAnsi="Arial" w:cs="Arial"/>
          <w:sz w:val="24"/>
          <w:szCs w:val="24"/>
          <w:lang w:val="en-US"/>
        </w:rPr>
        <w:t xml:space="preserve"> where to turn to. </w:t>
      </w:r>
    </w:p>
    <w:p w14:paraId="6AFC1DA5" w14:textId="77777777" w:rsidR="00BB64D9" w:rsidRPr="00E33E20" w:rsidRDefault="00BB64D9" w:rsidP="009174FD">
      <w:pPr>
        <w:spacing w:after="0" w:line="240" w:lineRule="auto"/>
        <w:jc w:val="both"/>
        <w:rPr>
          <w:rFonts w:ascii="Arial" w:hAnsi="Arial" w:cs="Arial"/>
          <w:sz w:val="24"/>
          <w:szCs w:val="24"/>
          <w:lang w:val="en-US"/>
        </w:rPr>
      </w:pPr>
    </w:p>
    <w:p w14:paraId="1573B4CD" w14:textId="11AC93F0" w:rsidR="001B0269" w:rsidRPr="00E33E20" w:rsidRDefault="001B0269"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One of the tools used for awareness raising and enhancing protection of a right to equal treatment, is strategic partnership with CSO-s. Since 2019, Estonia has operated a strategic partnership framework offering three-year funding to CSOs working on gender equality, equal treatment and human rights issues related to promoting equal opportunities for minority groups. Funding rounds were held in 2019, 2022, and 2025. Activities carried out by CSO-s include advocacy, research, awareness campaigns, counselling, and training aligned with gender equality and equal treatment goals in the Welfare Development Plan.</w:t>
      </w:r>
    </w:p>
    <w:p w14:paraId="5548D991" w14:textId="77777777" w:rsidR="00BB64D9" w:rsidRPr="00E33E20" w:rsidRDefault="00BB64D9" w:rsidP="009174FD">
      <w:pPr>
        <w:spacing w:after="0" w:line="240" w:lineRule="auto"/>
        <w:jc w:val="both"/>
        <w:rPr>
          <w:rFonts w:ascii="Arial" w:hAnsi="Arial" w:cs="Arial"/>
          <w:sz w:val="24"/>
          <w:szCs w:val="24"/>
          <w:lang w:val="en-US"/>
        </w:rPr>
      </w:pPr>
    </w:p>
    <w:p w14:paraId="12EBC8FC" w14:textId="63A3EC1D" w:rsidR="001B0269" w:rsidRPr="00E33E20" w:rsidRDefault="001B0269"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Also, the Gender Equality and Equal Treatment Commissioner has different tasks which enable the body to raise both public awareness and awareness of specific stakeholders about rights and obligations deriving from the ETA. For this purpose, the Commissioner uses different tools, including homepage</w:t>
      </w:r>
      <w:r w:rsidR="00BB64D9" w:rsidRPr="00E33E20">
        <w:rPr>
          <w:rStyle w:val="Allmrkuseviide"/>
          <w:rFonts w:ascii="Arial" w:hAnsi="Arial" w:cs="Arial"/>
          <w:sz w:val="24"/>
          <w:szCs w:val="24"/>
          <w:lang w:val="en-US"/>
        </w:rPr>
        <w:footnoteReference w:id="1"/>
      </w:r>
      <w:r w:rsidRPr="00E33E20">
        <w:rPr>
          <w:rFonts w:ascii="Arial" w:hAnsi="Arial" w:cs="Arial"/>
          <w:sz w:val="24"/>
          <w:szCs w:val="24"/>
          <w:lang w:val="en-US"/>
        </w:rPr>
        <w:t xml:space="preserve"> in Estonian, English and Russian, media briefings, articles and interviews, information materials, e-lessons for schools, etc. </w:t>
      </w:r>
    </w:p>
    <w:p w14:paraId="3CA86ECB" w14:textId="77777777" w:rsidR="00BB64D9" w:rsidRPr="00E33E20" w:rsidRDefault="00BB64D9" w:rsidP="009174FD">
      <w:pPr>
        <w:spacing w:after="0" w:line="240" w:lineRule="auto"/>
        <w:jc w:val="both"/>
        <w:rPr>
          <w:rFonts w:ascii="Arial" w:hAnsi="Arial" w:cs="Arial"/>
          <w:sz w:val="24"/>
          <w:szCs w:val="24"/>
          <w:lang w:val="en-US"/>
        </w:rPr>
      </w:pPr>
    </w:p>
    <w:p w14:paraId="7A8A31FA" w14:textId="77777777" w:rsidR="001B0269" w:rsidRPr="00E33E20" w:rsidRDefault="001B0269"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 xml:space="preserve">Starting from 2024, the Ministry of Economic Affairs and Communications has led the development of the first Estonian action plan to promote equal opportunities for LGBTIQ+ persons. The action plan will propose activities in seven areas: education and youth, legal framework, civil society, health, work, security and foreign policy. Planned activities include those aimed at raising awareness of both the stakeholders and the </w:t>
      </w:r>
      <w:proofErr w:type="gramStart"/>
      <w:r w:rsidRPr="00E33E20">
        <w:rPr>
          <w:rFonts w:ascii="Arial" w:hAnsi="Arial" w:cs="Arial"/>
          <w:sz w:val="24"/>
          <w:szCs w:val="24"/>
          <w:lang w:val="en-US"/>
        </w:rPr>
        <w:t>rightsholders.</w:t>
      </w:r>
      <w:proofErr w:type="gramEnd"/>
      <w:r w:rsidRPr="00E33E20">
        <w:rPr>
          <w:rFonts w:ascii="Arial" w:hAnsi="Arial" w:cs="Arial"/>
          <w:sz w:val="24"/>
          <w:szCs w:val="24"/>
          <w:lang w:val="en-US"/>
        </w:rPr>
        <w:t xml:space="preserve"> The action plan will hopefully be adopted in autumn 2025. </w:t>
      </w:r>
    </w:p>
    <w:p w14:paraId="6E3241D4" w14:textId="77777777" w:rsidR="00BB64D9" w:rsidRPr="00E33E20" w:rsidRDefault="00BB64D9" w:rsidP="009174FD">
      <w:pPr>
        <w:spacing w:after="0" w:line="240" w:lineRule="auto"/>
        <w:jc w:val="both"/>
        <w:rPr>
          <w:rFonts w:ascii="Arial" w:hAnsi="Arial" w:cs="Arial"/>
          <w:sz w:val="24"/>
          <w:szCs w:val="24"/>
          <w:lang w:val="en-US"/>
        </w:rPr>
      </w:pPr>
    </w:p>
    <w:p w14:paraId="22AC3A22" w14:textId="77777777" w:rsidR="001B0269" w:rsidRPr="00E33E20" w:rsidRDefault="001B0269" w:rsidP="009174FD">
      <w:pPr>
        <w:spacing w:after="0" w:line="240" w:lineRule="auto"/>
        <w:jc w:val="both"/>
        <w:rPr>
          <w:rFonts w:ascii="Arial" w:hAnsi="Arial" w:cs="Arial"/>
          <w:sz w:val="24"/>
          <w:szCs w:val="24"/>
          <w:lang w:val="en-US"/>
        </w:rPr>
      </w:pPr>
      <w:r w:rsidRPr="00E33E20">
        <w:rPr>
          <w:rFonts w:ascii="Arial" w:hAnsi="Arial" w:cs="Arial"/>
          <w:sz w:val="24"/>
          <w:szCs w:val="24"/>
          <w:lang w:val="en-US"/>
        </w:rPr>
        <w:t xml:space="preserve">The budget of the Gender Equality and Equal Treatment Commissioner has slightly increased from 2022 to 2025. When in 2022 the budget was 505 883 EUR, then in 2025 the budget is 526 289 EUR. There has been a decrease compared to 2024 (when the budget was 552 038 EUR) due to overall budget cuts in the public sector. The Ministry of Economic Affairs and Communications is preparing a draft law to transpose the EU directives 2024/1499 and 2024/1500 on standards for equality bodies. The directives establish binding standards for national equality bodies (in Estonia – the Gender Equality and Equal Treatment Commissioner) to enhance their independence and effectiveness in enforcing equal treatment legislation across the EU. Ensuring sufficient human, technical and financial resources for equality body to perform all its tasks and exercise all its powers effectively is one of the specific obligations foreseen for the member states. Some increase </w:t>
      </w:r>
      <w:proofErr w:type="gramStart"/>
      <w:r w:rsidRPr="00E33E20">
        <w:rPr>
          <w:rFonts w:ascii="Arial" w:hAnsi="Arial" w:cs="Arial"/>
          <w:sz w:val="24"/>
          <w:szCs w:val="24"/>
          <w:lang w:val="en-US"/>
        </w:rPr>
        <w:t>of</w:t>
      </w:r>
      <w:proofErr w:type="gramEnd"/>
      <w:r w:rsidRPr="00E33E20">
        <w:rPr>
          <w:rFonts w:ascii="Arial" w:hAnsi="Arial" w:cs="Arial"/>
          <w:sz w:val="24"/>
          <w:szCs w:val="24"/>
          <w:lang w:val="en-US"/>
        </w:rPr>
        <w:t xml:space="preserve"> the yearly budget is planned for the Commissioner in </w:t>
      </w:r>
      <w:proofErr w:type="gramStart"/>
      <w:r w:rsidRPr="00E33E20">
        <w:rPr>
          <w:rFonts w:ascii="Arial" w:hAnsi="Arial" w:cs="Arial"/>
          <w:sz w:val="24"/>
          <w:szCs w:val="24"/>
          <w:lang w:val="en-US"/>
        </w:rPr>
        <w:t>relations</w:t>
      </w:r>
      <w:proofErr w:type="gramEnd"/>
      <w:r w:rsidRPr="00E33E20">
        <w:rPr>
          <w:rFonts w:ascii="Arial" w:hAnsi="Arial" w:cs="Arial"/>
          <w:sz w:val="24"/>
          <w:szCs w:val="24"/>
          <w:lang w:val="en-US"/>
        </w:rPr>
        <w:t xml:space="preserve"> to the transposition of the directives. The national draft law is planned to be sent to the Government by the end of 2025 and is expected to be adopted by </w:t>
      </w:r>
      <w:proofErr w:type="gramStart"/>
      <w:r w:rsidRPr="00E33E20">
        <w:rPr>
          <w:rFonts w:ascii="Arial" w:hAnsi="Arial" w:cs="Arial"/>
          <w:sz w:val="24"/>
          <w:szCs w:val="24"/>
          <w:lang w:val="en-US"/>
        </w:rPr>
        <w:t>the Parliament</w:t>
      </w:r>
      <w:proofErr w:type="gramEnd"/>
      <w:r w:rsidRPr="00E33E20">
        <w:rPr>
          <w:rFonts w:ascii="Arial" w:hAnsi="Arial" w:cs="Arial"/>
          <w:sz w:val="24"/>
          <w:szCs w:val="24"/>
          <w:lang w:val="en-US"/>
        </w:rPr>
        <w:t xml:space="preserve"> at the latest in June 2026. </w:t>
      </w:r>
    </w:p>
    <w:p w14:paraId="574799C8" w14:textId="77777777" w:rsidR="00593EDF" w:rsidRPr="00E33E20" w:rsidRDefault="00593EDF" w:rsidP="009174FD">
      <w:pPr>
        <w:autoSpaceDE w:val="0"/>
        <w:autoSpaceDN w:val="0"/>
        <w:adjustRightInd w:val="0"/>
        <w:spacing w:after="0" w:line="240" w:lineRule="auto"/>
        <w:jc w:val="both"/>
        <w:rPr>
          <w:rFonts w:ascii="Arial" w:hAnsi="Arial" w:cs="Arial"/>
          <w:b/>
          <w:sz w:val="24"/>
          <w:szCs w:val="24"/>
          <w:lang w:val="en-US"/>
        </w:rPr>
      </w:pPr>
    </w:p>
    <w:p w14:paraId="02CE0866" w14:textId="77777777" w:rsidR="002233B2" w:rsidRPr="00E33E20" w:rsidRDefault="002233B2" w:rsidP="009174FD">
      <w:pPr>
        <w:autoSpaceDE w:val="0"/>
        <w:autoSpaceDN w:val="0"/>
        <w:adjustRightInd w:val="0"/>
        <w:spacing w:after="0" w:line="240" w:lineRule="auto"/>
        <w:jc w:val="both"/>
        <w:rPr>
          <w:rFonts w:ascii="Arial" w:hAnsi="Arial" w:cs="Arial"/>
          <w:b/>
          <w:sz w:val="24"/>
          <w:szCs w:val="24"/>
          <w:lang w:val="en-US"/>
        </w:rPr>
      </w:pPr>
    </w:p>
    <w:p w14:paraId="41847C48" w14:textId="77777777" w:rsidR="00406461" w:rsidRPr="00E33E20" w:rsidRDefault="00406461"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 xml:space="preserve">The following organizations have been sent </w:t>
      </w:r>
      <w:proofErr w:type="gramStart"/>
      <w:r w:rsidRPr="00E33E20">
        <w:rPr>
          <w:rFonts w:ascii="Arial" w:hAnsi="Arial" w:cs="Arial"/>
          <w:sz w:val="24"/>
          <w:szCs w:val="24"/>
          <w:lang w:val="en-US"/>
        </w:rPr>
        <w:t>its</w:t>
      </w:r>
      <w:proofErr w:type="gramEnd"/>
      <w:r w:rsidRPr="00E33E20">
        <w:rPr>
          <w:rFonts w:ascii="Arial" w:hAnsi="Arial" w:cs="Arial"/>
          <w:sz w:val="24"/>
          <w:szCs w:val="24"/>
          <w:lang w:val="en-US"/>
        </w:rPr>
        <w:t xml:space="preserve"> copies:</w:t>
      </w:r>
    </w:p>
    <w:p w14:paraId="12A09B65" w14:textId="77777777" w:rsidR="00406461" w:rsidRPr="00E33E20" w:rsidRDefault="00406461" w:rsidP="00241013">
      <w:pPr>
        <w:pStyle w:val="Loendilik"/>
        <w:numPr>
          <w:ilvl w:val="0"/>
          <w:numId w:val="3"/>
        </w:numPr>
        <w:autoSpaceDE w:val="0"/>
        <w:autoSpaceDN w:val="0"/>
        <w:adjustRightInd w:val="0"/>
        <w:spacing w:after="0" w:line="240" w:lineRule="auto"/>
        <w:jc w:val="both"/>
        <w:rPr>
          <w:rFonts w:cs="Arial"/>
          <w:sz w:val="24"/>
          <w:szCs w:val="24"/>
          <w:lang w:val="en-US"/>
        </w:rPr>
      </w:pPr>
      <w:r w:rsidRPr="00E33E20">
        <w:rPr>
          <w:rFonts w:cs="Arial"/>
          <w:sz w:val="24"/>
          <w:szCs w:val="24"/>
          <w:lang w:val="en-US"/>
        </w:rPr>
        <w:t>Estonian Employers’ Confederation</w:t>
      </w:r>
    </w:p>
    <w:p w14:paraId="36761EE0" w14:textId="77777777" w:rsidR="00406461" w:rsidRPr="00E33E20" w:rsidRDefault="00406461" w:rsidP="00241013">
      <w:pPr>
        <w:numPr>
          <w:ilvl w:val="0"/>
          <w:numId w:val="2"/>
        </w:numPr>
        <w:autoSpaceDE w:val="0"/>
        <w:autoSpaceDN w:val="0"/>
        <w:adjustRightInd w:val="0"/>
        <w:spacing w:after="0" w:line="240" w:lineRule="auto"/>
        <w:jc w:val="both"/>
        <w:rPr>
          <w:rFonts w:ascii="Arial" w:hAnsi="Arial" w:cs="Arial"/>
          <w:bCs/>
          <w:sz w:val="24"/>
          <w:szCs w:val="24"/>
          <w:lang w:val="en-US"/>
        </w:rPr>
      </w:pPr>
      <w:r w:rsidRPr="00E33E20">
        <w:rPr>
          <w:rFonts w:ascii="Arial" w:hAnsi="Arial" w:cs="Arial"/>
          <w:bCs/>
          <w:sz w:val="24"/>
          <w:szCs w:val="24"/>
          <w:lang w:val="en-US"/>
        </w:rPr>
        <w:t>Estonian Trade Union Confederation</w:t>
      </w:r>
    </w:p>
    <w:p w14:paraId="74C633D8" w14:textId="77777777" w:rsidR="002233B2" w:rsidRPr="00E33E20" w:rsidRDefault="002233B2" w:rsidP="009174FD">
      <w:pPr>
        <w:autoSpaceDE w:val="0"/>
        <w:autoSpaceDN w:val="0"/>
        <w:adjustRightInd w:val="0"/>
        <w:spacing w:after="0" w:line="240" w:lineRule="auto"/>
        <w:jc w:val="both"/>
        <w:rPr>
          <w:rFonts w:ascii="Arial" w:hAnsi="Arial" w:cs="Arial"/>
          <w:b/>
          <w:sz w:val="24"/>
          <w:szCs w:val="24"/>
          <w:lang w:val="en-US"/>
        </w:rPr>
      </w:pPr>
    </w:p>
    <w:p w14:paraId="127A08A2" w14:textId="77777777" w:rsidR="00BB64D9" w:rsidRPr="00E33E20" w:rsidRDefault="00BB64D9">
      <w:pPr>
        <w:rPr>
          <w:rFonts w:ascii="Arial" w:hAnsi="Arial" w:cs="Arial"/>
          <w:b/>
          <w:sz w:val="24"/>
          <w:szCs w:val="24"/>
          <w:lang w:val="en-US"/>
        </w:rPr>
      </w:pPr>
      <w:r w:rsidRPr="00E33E20">
        <w:rPr>
          <w:rFonts w:ascii="Arial" w:hAnsi="Arial" w:cs="Arial"/>
          <w:b/>
          <w:sz w:val="24"/>
          <w:szCs w:val="24"/>
          <w:lang w:val="en-US"/>
        </w:rPr>
        <w:br w:type="page"/>
      </w:r>
    </w:p>
    <w:p w14:paraId="2071AA3F" w14:textId="5330CECA" w:rsidR="002A23C2" w:rsidRPr="00E33E20" w:rsidRDefault="002A23C2" w:rsidP="009174FD">
      <w:pPr>
        <w:autoSpaceDE w:val="0"/>
        <w:autoSpaceDN w:val="0"/>
        <w:adjustRightInd w:val="0"/>
        <w:spacing w:after="0" w:line="240" w:lineRule="auto"/>
        <w:jc w:val="center"/>
        <w:rPr>
          <w:rFonts w:ascii="Arial" w:hAnsi="Arial" w:cs="Arial"/>
          <w:b/>
          <w:sz w:val="24"/>
          <w:szCs w:val="24"/>
          <w:lang w:val="en-US"/>
        </w:rPr>
      </w:pPr>
      <w:r w:rsidRPr="00E33E20">
        <w:rPr>
          <w:rFonts w:ascii="Arial" w:hAnsi="Arial" w:cs="Arial"/>
          <w:b/>
          <w:sz w:val="24"/>
          <w:szCs w:val="24"/>
          <w:lang w:val="en-US"/>
        </w:rPr>
        <w:t>R E P O R T, 20</w:t>
      </w:r>
      <w:r w:rsidR="00E70244" w:rsidRPr="00E33E20">
        <w:rPr>
          <w:rFonts w:ascii="Arial" w:hAnsi="Arial" w:cs="Arial"/>
          <w:b/>
          <w:sz w:val="24"/>
          <w:szCs w:val="24"/>
          <w:lang w:val="en-US"/>
        </w:rPr>
        <w:t>2</w:t>
      </w:r>
      <w:r w:rsidR="0083258D" w:rsidRPr="00E33E20">
        <w:rPr>
          <w:rFonts w:ascii="Arial" w:hAnsi="Arial" w:cs="Arial"/>
          <w:b/>
          <w:sz w:val="24"/>
          <w:szCs w:val="24"/>
          <w:lang w:val="en-US"/>
        </w:rPr>
        <w:t>5</w:t>
      </w:r>
    </w:p>
    <w:p w14:paraId="439CF965" w14:textId="77777777" w:rsidR="002A23C2" w:rsidRPr="00E33E20" w:rsidRDefault="002A23C2" w:rsidP="009174FD">
      <w:pPr>
        <w:autoSpaceDE w:val="0"/>
        <w:autoSpaceDN w:val="0"/>
        <w:adjustRightInd w:val="0"/>
        <w:spacing w:after="0" w:line="240" w:lineRule="auto"/>
        <w:jc w:val="both"/>
        <w:rPr>
          <w:rFonts w:ascii="Arial" w:hAnsi="Arial" w:cs="Arial"/>
          <w:sz w:val="24"/>
          <w:szCs w:val="24"/>
          <w:lang w:val="en-US"/>
        </w:rPr>
      </w:pPr>
    </w:p>
    <w:p w14:paraId="78186E9B" w14:textId="77777777" w:rsidR="002A23C2" w:rsidRPr="00E33E20" w:rsidRDefault="002A23C2" w:rsidP="009174FD">
      <w:pPr>
        <w:autoSpaceDE w:val="0"/>
        <w:autoSpaceDN w:val="0"/>
        <w:adjustRightInd w:val="0"/>
        <w:spacing w:after="0" w:line="240" w:lineRule="auto"/>
        <w:jc w:val="both"/>
        <w:rPr>
          <w:rFonts w:ascii="Arial" w:hAnsi="Arial" w:cs="Arial"/>
          <w:sz w:val="24"/>
          <w:szCs w:val="24"/>
          <w:lang w:val="en-US"/>
        </w:rPr>
      </w:pPr>
    </w:p>
    <w:p w14:paraId="5C58251F" w14:textId="68B40EE1" w:rsidR="002A23C2" w:rsidRPr="00E33E20" w:rsidRDefault="002A23C2"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 xml:space="preserve">for the period </w:t>
      </w:r>
      <w:r w:rsidR="00E70244" w:rsidRPr="00E33E20">
        <w:rPr>
          <w:rFonts w:ascii="Arial" w:hAnsi="Arial" w:cs="Arial"/>
          <w:b/>
          <w:sz w:val="24"/>
          <w:szCs w:val="24"/>
          <w:lang w:val="en-US"/>
        </w:rPr>
        <w:t>fr</w:t>
      </w:r>
      <w:r w:rsidRPr="00E33E20">
        <w:rPr>
          <w:rFonts w:ascii="Arial" w:hAnsi="Arial" w:cs="Arial"/>
          <w:b/>
          <w:sz w:val="24"/>
          <w:szCs w:val="24"/>
          <w:lang w:val="en-US"/>
        </w:rPr>
        <w:t>o</w:t>
      </w:r>
      <w:r w:rsidR="00E70244" w:rsidRPr="00E33E20">
        <w:rPr>
          <w:rFonts w:ascii="Arial" w:hAnsi="Arial" w:cs="Arial"/>
          <w:b/>
          <w:sz w:val="24"/>
          <w:szCs w:val="24"/>
          <w:lang w:val="en-US"/>
        </w:rPr>
        <w:t>m</w:t>
      </w:r>
      <w:r w:rsidRPr="00E33E20">
        <w:rPr>
          <w:rFonts w:ascii="Arial" w:hAnsi="Arial" w:cs="Arial"/>
          <w:b/>
          <w:sz w:val="24"/>
          <w:szCs w:val="24"/>
          <w:lang w:val="en-US"/>
        </w:rPr>
        <w:t xml:space="preserve"> September </w:t>
      </w:r>
      <w:r w:rsidR="00BF27E2" w:rsidRPr="00E33E20">
        <w:rPr>
          <w:rFonts w:ascii="Arial" w:hAnsi="Arial" w:cs="Arial"/>
          <w:b/>
          <w:sz w:val="24"/>
          <w:szCs w:val="24"/>
          <w:lang w:val="en-US"/>
        </w:rPr>
        <w:t>20</w:t>
      </w:r>
      <w:r w:rsidR="0083258D" w:rsidRPr="00E33E20">
        <w:rPr>
          <w:rFonts w:ascii="Arial" w:hAnsi="Arial" w:cs="Arial"/>
          <w:b/>
          <w:sz w:val="24"/>
          <w:szCs w:val="24"/>
          <w:lang w:val="en-US"/>
        </w:rPr>
        <w:t>22</w:t>
      </w:r>
      <w:r w:rsidR="00B83AB1" w:rsidRPr="00E33E20">
        <w:rPr>
          <w:rFonts w:ascii="Arial" w:hAnsi="Arial" w:cs="Arial"/>
          <w:b/>
          <w:sz w:val="24"/>
          <w:szCs w:val="24"/>
          <w:lang w:val="en-US"/>
        </w:rPr>
        <w:t xml:space="preserve"> </w:t>
      </w:r>
      <w:r w:rsidR="00E70244" w:rsidRPr="00E33E20">
        <w:rPr>
          <w:rFonts w:ascii="Arial" w:hAnsi="Arial" w:cs="Arial"/>
          <w:b/>
          <w:sz w:val="24"/>
          <w:szCs w:val="24"/>
          <w:lang w:val="en-US"/>
        </w:rPr>
        <w:t>to September 202</w:t>
      </w:r>
      <w:r w:rsidR="0083258D" w:rsidRPr="00E33E20">
        <w:rPr>
          <w:rFonts w:ascii="Arial" w:hAnsi="Arial" w:cs="Arial"/>
          <w:b/>
          <w:sz w:val="24"/>
          <w:szCs w:val="24"/>
          <w:lang w:val="en-US"/>
        </w:rPr>
        <w:t>5</w:t>
      </w:r>
      <w:r w:rsidRPr="00E33E20">
        <w:rPr>
          <w:rFonts w:ascii="Arial" w:hAnsi="Arial" w:cs="Arial"/>
          <w:sz w:val="24"/>
          <w:szCs w:val="24"/>
          <w:lang w:val="en-US"/>
        </w:rPr>
        <w:t xml:space="preserve">, made by the </w:t>
      </w:r>
      <w:r w:rsidRPr="00E33E20">
        <w:rPr>
          <w:rFonts w:ascii="Arial" w:hAnsi="Arial" w:cs="Arial"/>
          <w:b/>
          <w:bCs/>
          <w:sz w:val="24"/>
          <w:szCs w:val="24"/>
          <w:lang w:val="en-US"/>
        </w:rPr>
        <w:t>Government of Estonia</w:t>
      </w:r>
      <w:r w:rsidRPr="00E33E20">
        <w:rPr>
          <w:rFonts w:ascii="Arial" w:hAnsi="Arial" w:cs="Arial"/>
          <w:sz w:val="24"/>
          <w:szCs w:val="24"/>
          <w:lang w:val="en-US"/>
        </w:rPr>
        <w:t xml:space="preserve">, in accordance with article 22 of the Constitution of the International Labour </w:t>
      </w:r>
      <w:proofErr w:type="spellStart"/>
      <w:r w:rsidRPr="00E33E20">
        <w:rPr>
          <w:rFonts w:ascii="Arial" w:hAnsi="Arial" w:cs="Arial"/>
          <w:sz w:val="24"/>
          <w:szCs w:val="24"/>
          <w:lang w:val="en-US"/>
        </w:rPr>
        <w:t>Organisation</w:t>
      </w:r>
      <w:proofErr w:type="spellEnd"/>
      <w:r w:rsidRPr="00E33E20">
        <w:rPr>
          <w:rFonts w:ascii="Arial" w:hAnsi="Arial" w:cs="Arial"/>
          <w:sz w:val="24"/>
          <w:szCs w:val="24"/>
          <w:lang w:val="en-US"/>
        </w:rPr>
        <w:t>, on the measures taken to give effect to the provisions of the</w:t>
      </w:r>
    </w:p>
    <w:p w14:paraId="39D45B38" w14:textId="77777777" w:rsidR="002A23C2" w:rsidRPr="00E33E20" w:rsidRDefault="002A23C2" w:rsidP="009174FD">
      <w:pPr>
        <w:autoSpaceDE w:val="0"/>
        <w:autoSpaceDN w:val="0"/>
        <w:adjustRightInd w:val="0"/>
        <w:spacing w:after="0" w:line="240" w:lineRule="auto"/>
        <w:jc w:val="both"/>
        <w:rPr>
          <w:rFonts w:ascii="Arial" w:hAnsi="Arial" w:cs="Arial"/>
          <w:sz w:val="24"/>
          <w:szCs w:val="24"/>
          <w:lang w:val="en-US"/>
        </w:rPr>
      </w:pPr>
    </w:p>
    <w:p w14:paraId="2D850EC4" w14:textId="74917EB4" w:rsidR="002A23C2" w:rsidRPr="00E33E20" w:rsidRDefault="00B83AB1" w:rsidP="009174FD">
      <w:pPr>
        <w:spacing w:after="0" w:line="240" w:lineRule="auto"/>
        <w:jc w:val="center"/>
        <w:rPr>
          <w:rFonts w:ascii="Arial" w:hAnsi="Arial" w:cs="Arial"/>
          <w:b/>
          <w:bCs/>
          <w:sz w:val="24"/>
          <w:szCs w:val="24"/>
          <w:lang w:val="en-US"/>
        </w:rPr>
      </w:pPr>
      <w:r w:rsidRPr="00E33E20">
        <w:rPr>
          <w:rFonts w:ascii="Arial" w:hAnsi="Arial" w:cs="Arial"/>
          <w:b/>
          <w:bCs/>
          <w:sz w:val="24"/>
          <w:szCs w:val="24"/>
          <w:lang w:val="en-US"/>
        </w:rPr>
        <w:t>Labour Inspection Convention, 1947 (No. 81)</w:t>
      </w:r>
    </w:p>
    <w:p w14:paraId="58A7AA23" w14:textId="77777777" w:rsidR="00B83AB1" w:rsidRPr="00E33E20" w:rsidRDefault="00B83AB1" w:rsidP="009174FD">
      <w:pPr>
        <w:spacing w:after="0" w:line="240" w:lineRule="auto"/>
        <w:jc w:val="both"/>
        <w:rPr>
          <w:rFonts w:ascii="Arial" w:hAnsi="Arial" w:cs="Arial"/>
          <w:bCs/>
          <w:sz w:val="24"/>
          <w:szCs w:val="24"/>
          <w:lang w:val="en-US"/>
        </w:rPr>
      </w:pPr>
    </w:p>
    <w:p w14:paraId="5EC4B674" w14:textId="0CB6B76E" w:rsidR="002A23C2" w:rsidRPr="00E33E20" w:rsidRDefault="002A23C2" w:rsidP="009174FD">
      <w:pPr>
        <w:spacing w:after="0" w:line="240" w:lineRule="auto"/>
        <w:jc w:val="both"/>
        <w:rPr>
          <w:rFonts w:ascii="Arial" w:hAnsi="Arial" w:cs="Arial"/>
          <w:bCs/>
          <w:sz w:val="24"/>
          <w:szCs w:val="24"/>
          <w:lang w:val="en-US"/>
        </w:rPr>
      </w:pPr>
      <w:r w:rsidRPr="00E33E20">
        <w:rPr>
          <w:rFonts w:ascii="Arial" w:hAnsi="Arial" w:cs="Arial"/>
          <w:bCs/>
          <w:sz w:val="24"/>
          <w:szCs w:val="24"/>
          <w:lang w:val="en-US"/>
        </w:rPr>
        <w:t>There have been no amendments to the relevant legislation compared to the previous reporting period.</w:t>
      </w:r>
    </w:p>
    <w:p w14:paraId="43027D2F" w14:textId="3336DCE1" w:rsidR="002A23C2" w:rsidRPr="00E33E20" w:rsidRDefault="002A23C2" w:rsidP="009174FD">
      <w:pPr>
        <w:spacing w:after="0" w:line="240" w:lineRule="auto"/>
        <w:jc w:val="both"/>
        <w:rPr>
          <w:rFonts w:ascii="Arial" w:hAnsi="Arial" w:cs="Arial"/>
          <w:bCs/>
          <w:sz w:val="24"/>
          <w:szCs w:val="24"/>
          <w:lang w:val="en-US"/>
        </w:rPr>
      </w:pPr>
    </w:p>
    <w:p w14:paraId="199D7CC3" w14:textId="076913D5" w:rsidR="005F7940" w:rsidRPr="00E33E20" w:rsidRDefault="0034751C" w:rsidP="009174FD">
      <w:pPr>
        <w:spacing w:after="0" w:line="240" w:lineRule="auto"/>
        <w:jc w:val="both"/>
        <w:rPr>
          <w:rFonts w:ascii="Arial" w:hAnsi="Arial" w:cs="Arial"/>
          <w:bCs/>
          <w:sz w:val="24"/>
          <w:szCs w:val="24"/>
          <w:lang w:val="en-US"/>
        </w:rPr>
      </w:pPr>
      <w:r w:rsidRPr="00E33E20">
        <w:rPr>
          <w:rFonts w:ascii="Arial" w:hAnsi="Arial" w:cs="Arial"/>
          <w:bCs/>
          <w:sz w:val="24"/>
          <w:szCs w:val="24"/>
          <w:lang w:val="en-US"/>
        </w:rPr>
        <w:t>Annual reports of work environment can be found here</w:t>
      </w:r>
      <w:r w:rsidR="0077794E">
        <w:rPr>
          <w:rFonts w:ascii="Arial" w:hAnsi="Arial" w:cs="Arial"/>
          <w:bCs/>
          <w:sz w:val="24"/>
          <w:szCs w:val="24"/>
          <w:lang w:val="en-US"/>
        </w:rPr>
        <w:t xml:space="preserve"> (in English)</w:t>
      </w:r>
      <w:r w:rsidRPr="00E33E20">
        <w:rPr>
          <w:rFonts w:ascii="Arial" w:hAnsi="Arial" w:cs="Arial"/>
          <w:bCs/>
          <w:sz w:val="24"/>
          <w:szCs w:val="24"/>
          <w:lang w:val="en-US"/>
        </w:rPr>
        <w:t>:</w:t>
      </w:r>
    </w:p>
    <w:p w14:paraId="0CAD5B11" w14:textId="05654D50" w:rsidR="0034751C" w:rsidRPr="00E33E20" w:rsidRDefault="0034751C" w:rsidP="009174FD">
      <w:pPr>
        <w:spacing w:after="0" w:line="240" w:lineRule="auto"/>
        <w:jc w:val="both"/>
        <w:rPr>
          <w:rFonts w:ascii="Arial" w:hAnsi="Arial" w:cs="Arial"/>
          <w:bCs/>
          <w:sz w:val="24"/>
          <w:szCs w:val="24"/>
          <w:lang w:val="en-US"/>
        </w:rPr>
      </w:pPr>
      <w:hyperlink r:id="rId19" w:history="1">
        <w:r w:rsidRPr="00E33E20">
          <w:rPr>
            <w:rStyle w:val="Hperlink"/>
            <w:rFonts w:ascii="Arial" w:hAnsi="Arial" w:cs="Arial"/>
            <w:bCs/>
            <w:sz w:val="24"/>
            <w:szCs w:val="24"/>
            <w:lang w:val="en-US"/>
          </w:rPr>
          <w:t>https://www.ti.ee/en/government-agency-news-and-contacts/statistics/annual-reports-work-environment</w:t>
        </w:r>
      </w:hyperlink>
      <w:r w:rsidR="00BB64D9" w:rsidRPr="00E33E20">
        <w:rPr>
          <w:rFonts w:ascii="Arial" w:hAnsi="Arial" w:cs="Arial"/>
          <w:bCs/>
          <w:sz w:val="24"/>
          <w:szCs w:val="24"/>
          <w:lang w:val="en-US"/>
        </w:rPr>
        <w:t>.</w:t>
      </w:r>
    </w:p>
    <w:p w14:paraId="0999FFBB" w14:textId="77777777" w:rsidR="0034751C" w:rsidRPr="00E33E20" w:rsidRDefault="0034751C" w:rsidP="009174FD">
      <w:pPr>
        <w:spacing w:after="0" w:line="240" w:lineRule="auto"/>
        <w:jc w:val="both"/>
        <w:rPr>
          <w:rFonts w:ascii="Arial" w:hAnsi="Arial" w:cs="Arial"/>
          <w:bCs/>
          <w:sz w:val="24"/>
          <w:szCs w:val="24"/>
          <w:lang w:val="en-US"/>
        </w:rPr>
      </w:pPr>
    </w:p>
    <w:p w14:paraId="4851EFA2" w14:textId="657A22FF" w:rsidR="002A23C2" w:rsidRPr="00E33E20" w:rsidRDefault="002A23C2" w:rsidP="009174FD">
      <w:pPr>
        <w:spacing w:after="0" w:line="240" w:lineRule="auto"/>
        <w:jc w:val="both"/>
        <w:rPr>
          <w:rFonts w:ascii="Arial" w:hAnsi="Arial" w:cs="Arial"/>
          <w:bCs/>
          <w:sz w:val="24"/>
          <w:szCs w:val="24"/>
          <w:lang w:val="en-US"/>
        </w:rPr>
      </w:pPr>
      <w:r w:rsidRPr="00E33E20">
        <w:rPr>
          <w:rFonts w:ascii="Arial" w:hAnsi="Arial" w:cs="Arial"/>
          <w:bCs/>
          <w:sz w:val="24"/>
          <w:szCs w:val="24"/>
          <w:lang w:val="en-US"/>
        </w:rPr>
        <w:t xml:space="preserve">The following organizations have been sent </w:t>
      </w:r>
      <w:proofErr w:type="gramStart"/>
      <w:r w:rsidRPr="00E33E20">
        <w:rPr>
          <w:rFonts w:ascii="Arial" w:hAnsi="Arial" w:cs="Arial"/>
          <w:bCs/>
          <w:sz w:val="24"/>
          <w:szCs w:val="24"/>
          <w:lang w:val="en-US"/>
        </w:rPr>
        <w:t>its</w:t>
      </w:r>
      <w:proofErr w:type="gramEnd"/>
      <w:r w:rsidRPr="00E33E20">
        <w:rPr>
          <w:rFonts w:ascii="Arial" w:hAnsi="Arial" w:cs="Arial"/>
          <w:bCs/>
          <w:sz w:val="24"/>
          <w:szCs w:val="24"/>
          <w:lang w:val="en-US"/>
        </w:rPr>
        <w:t xml:space="preserve"> copies:</w:t>
      </w:r>
    </w:p>
    <w:p w14:paraId="0A62EE26" w14:textId="77777777" w:rsidR="002A23C2" w:rsidRPr="00E33E20" w:rsidRDefault="002A23C2" w:rsidP="00241013">
      <w:pPr>
        <w:numPr>
          <w:ilvl w:val="0"/>
          <w:numId w:val="1"/>
        </w:numPr>
        <w:spacing w:after="0" w:line="240" w:lineRule="auto"/>
        <w:jc w:val="both"/>
        <w:rPr>
          <w:rFonts w:ascii="Arial" w:hAnsi="Arial" w:cs="Arial"/>
          <w:bCs/>
          <w:sz w:val="24"/>
          <w:szCs w:val="24"/>
          <w:lang w:val="en-US"/>
        </w:rPr>
      </w:pPr>
      <w:r w:rsidRPr="00E33E20">
        <w:rPr>
          <w:rFonts w:ascii="Arial" w:hAnsi="Arial" w:cs="Arial"/>
          <w:bCs/>
          <w:sz w:val="24"/>
          <w:szCs w:val="24"/>
          <w:lang w:val="en-US"/>
        </w:rPr>
        <w:t>Estonian Employers’ Confederation</w:t>
      </w:r>
    </w:p>
    <w:p w14:paraId="7123F3EF" w14:textId="363906CF" w:rsidR="002A23C2" w:rsidRPr="00E33E20" w:rsidRDefault="002A23C2" w:rsidP="00241013">
      <w:pPr>
        <w:numPr>
          <w:ilvl w:val="0"/>
          <w:numId w:val="1"/>
        </w:numPr>
        <w:spacing w:after="0" w:line="240" w:lineRule="auto"/>
        <w:jc w:val="both"/>
        <w:rPr>
          <w:rFonts w:ascii="Arial" w:hAnsi="Arial" w:cs="Arial"/>
          <w:bCs/>
          <w:sz w:val="24"/>
          <w:szCs w:val="24"/>
          <w:lang w:val="en-US"/>
        </w:rPr>
      </w:pPr>
      <w:r w:rsidRPr="00E33E20">
        <w:rPr>
          <w:rFonts w:ascii="Arial" w:hAnsi="Arial" w:cs="Arial"/>
          <w:bCs/>
          <w:sz w:val="24"/>
          <w:szCs w:val="24"/>
          <w:lang w:val="en-US"/>
        </w:rPr>
        <w:t>Estonian Trade Union Confederation</w:t>
      </w:r>
    </w:p>
    <w:p w14:paraId="0B52170E" w14:textId="77777777" w:rsidR="002A23C2" w:rsidRPr="00E33E20" w:rsidRDefault="002A23C2" w:rsidP="009174FD">
      <w:pPr>
        <w:spacing w:after="0" w:line="240" w:lineRule="auto"/>
        <w:jc w:val="both"/>
        <w:rPr>
          <w:rFonts w:ascii="Arial" w:hAnsi="Arial" w:cs="Arial"/>
          <w:b/>
          <w:sz w:val="24"/>
          <w:szCs w:val="24"/>
          <w:lang w:val="en-US"/>
        </w:rPr>
      </w:pPr>
      <w:r w:rsidRPr="00E33E20">
        <w:rPr>
          <w:rFonts w:ascii="Arial" w:hAnsi="Arial" w:cs="Arial"/>
          <w:b/>
          <w:sz w:val="24"/>
          <w:szCs w:val="24"/>
          <w:lang w:val="en-US"/>
        </w:rPr>
        <w:br w:type="page"/>
      </w:r>
    </w:p>
    <w:p w14:paraId="674B380B" w14:textId="0002A87C" w:rsidR="002A23C2" w:rsidRPr="00E33E20" w:rsidRDefault="002A23C2" w:rsidP="009174FD">
      <w:pPr>
        <w:autoSpaceDE w:val="0"/>
        <w:autoSpaceDN w:val="0"/>
        <w:adjustRightInd w:val="0"/>
        <w:spacing w:after="0" w:line="240" w:lineRule="auto"/>
        <w:jc w:val="center"/>
        <w:rPr>
          <w:rFonts w:ascii="Arial" w:hAnsi="Arial" w:cs="Arial"/>
          <w:b/>
          <w:sz w:val="24"/>
          <w:szCs w:val="24"/>
          <w:lang w:val="en-US"/>
        </w:rPr>
      </w:pPr>
      <w:r w:rsidRPr="00E33E20">
        <w:rPr>
          <w:rFonts w:ascii="Arial" w:hAnsi="Arial" w:cs="Arial"/>
          <w:b/>
          <w:sz w:val="24"/>
          <w:szCs w:val="24"/>
          <w:lang w:val="en-US"/>
        </w:rPr>
        <w:t>R E P O R T, 20</w:t>
      </w:r>
      <w:r w:rsidR="00D74BC9" w:rsidRPr="00E33E20">
        <w:rPr>
          <w:rFonts w:ascii="Arial" w:hAnsi="Arial" w:cs="Arial"/>
          <w:b/>
          <w:sz w:val="24"/>
          <w:szCs w:val="24"/>
          <w:lang w:val="en-US"/>
        </w:rPr>
        <w:t>2</w:t>
      </w:r>
      <w:r w:rsidR="0083258D" w:rsidRPr="00E33E20">
        <w:rPr>
          <w:rFonts w:ascii="Arial" w:hAnsi="Arial" w:cs="Arial"/>
          <w:b/>
          <w:sz w:val="24"/>
          <w:szCs w:val="24"/>
          <w:lang w:val="en-US"/>
        </w:rPr>
        <w:t>5</w:t>
      </w:r>
    </w:p>
    <w:p w14:paraId="4BB1F488" w14:textId="77777777" w:rsidR="002A23C2" w:rsidRPr="00E33E20" w:rsidRDefault="002A23C2" w:rsidP="009174FD">
      <w:pPr>
        <w:autoSpaceDE w:val="0"/>
        <w:autoSpaceDN w:val="0"/>
        <w:adjustRightInd w:val="0"/>
        <w:spacing w:after="0" w:line="240" w:lineRule="auto"/>
        <w:jc w:val="both"/>
        <w:rPr>
          <w:rFonts w:ascii="Arial" w:hAnsi="Arial" w:cs="Arial"/>
          <w:sz w:val="24"/>
          <w:szCs w:val="24"/>
          <w:lang w:val="en-US"/>
        </w:rPr>
      </w:pPr>
    </w:p>
    <w:p w14:paraId="04FEECE3" w14:textId="77777777" w:rsidR="002A23C2" w:rsidRPr="00E33E20" w:rsidRDefault="002A23C2" w:rsidP="009174FD">
      <w:pPr>
        <w:autoSpaceDE w:val="0"/>
        <w:autoSpaceDN w:val="0"/>
        <w:adjustRightInd w:val="0"/>
        <w:spacing w:after="0" w:line="240" w:lineRule="auto"/>
        <w:jc w:val="both"/>
        <w:rPr>
          <w:rFonts w:ascii="Arial" w:hAnsi="Arial" w:cs="Arial"/>
          <w:sz w:val="24"/>
          <w:szCs w:val="24"/>
          <w:lang w:val="en-US"/>
        </w:rPr>
      </w:pPr>
    </w:p>
    <w:p w14:paraId="1DD3A071" w14:textId="44C6F4C3" w:rsidR="002A23C2" w:rsidRPr="00E33E20" w:rsidRDefault="002A23C2"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 xml:space="preserve">for the period </w:t>
      </w:r>
      <w:r w:rsidR="00D74BC9" w:rsidRPr="00E33E20">
        <w:rPr>
          <w:rFonts w:ascii="Arial" w:hAnsi="Arial" w:cs="Arial"/>
          <w:b/>
          <w:bCs/>
          <w:sz w:val="24"/>
          <w:szCs w:val="24"/>
          <w:lang w:val="en-US"/>
        </w:rPr>
        <w:t xml:space="preserve">from September </w:t>
      </w:r>
      <w:r w:rsidR="00BF27E2" w:rsidRPr="00E33E20">
        <w:rPr>
          <w:rFonts w:ascii="Arial" w:hAnsi="Arial" w:cs="Arial"/>
          <w:b/>
          <w:bCs/>
          <w:sz w:val="24"/>
          <w:szCs w:val="24"/>
          <w:lang w:val="en-US"/>
        </w:rPr>
        <w:t>20</w:t>
      </w:r>
      <w:r w:rsidR="0083258D" w:rsidRPr="00E33E20">
        <w:rPr>
          <w:rFonts w:ascii="Arial" w:hAnsi="Arial" w:cs="Arial"/>
          <w:b/>
          <w:bCs/>
          <w:sz w:val="24"/>
          <w:szCs w:val="24"/>
          <w:lang w:val="en-US"/>
        </w:rPr>
        <w:t>22</w:t>
      </w:r>
      <w:r w:rsidR="00D74BC9" w:rsidRPr="00E33E20">
        <w:rPr>
          <w:rFonts w:ascii="Arial" w:hAnsi="Arial" w:cs="Arial"/>
          <w:b/>
          <w:bCs/>
          <w:sz w:val="24"/>
          <w:szCs w:val="24"/>
          <w:lang w:val="en-US"/>
        </w:rPr>
        <w:t xml:space="preserve"> </w:t>
      </w:r>
      <w:r w:rsidRPr="00E33E20">
        <w:rPr>
          <w:rFonts w:ascii="Arial" w:hAnsi="Arial" w:cs="Arial"/>
          <w:b/>
          <w:sz w:val="24"/>
          <w:szCs w:val="24"/>
          <w:lang w:val="en-US"/>
        </w:rPr>
        <w:t>to September 20</w:t>
      </w:r>
      <w:r w:rsidR="00D74BC9" w:rsidRPr="00E33E20">
        <w:rPr>
          <w:rFonts w:ascii="Arial" w:hAnsi="Arial" w:cs="Arial"/>
          <w:b/>
          <w:sz w:val="24"/>
          <w:szCs w:val="24"/>
          <w:lang w:val="en-US"/>
        </w:rPr>
        <w:t>2</w:t>
      </w:r>
      <w:r w:rsidR="0083258D" w:rsidRPr="00E33E20">
        <w:rPr>
          <w:rFonts w:ascii="Arial" w:hAnsi="Arial" w:cs="Arial"/>
          <w:b/>
          <w:sz w:val="24"/>
          <w:szCs w:val="24"/>
          <w:lang w:val="en-US"/>
        </w:rPr>
        <w:t>5</w:t>
      </w:r>
      <w:r w:rsidRPr="00E33E20">
        <w:rPr>
          <w:rFonts w:ascii="Arial" w:hAnsi="Arial" w:cs="Arial"/>
          <w:sz w:val="24"/>
          <w:szCs w:val="24"/>
          <w:lang w:val="en-US"/>
        </w:rPr>
        <w:t xml:space="preserve">, made by the </w:t>
      </w:r>
      <w:r w:rsidRPr="00E33E20">
        <w:rPr>
          <w:rFonts w:ascii="Arial" w:hAnsi="Arial" w:cs="Arial"/>
          <w:b/>
          <w:bCs/>
          <w:sz w:val="24"/>
          <w:szCs w:val="24"/>
          <w:lang w:val="en-US"/>
        </w:rPr>
        <w:t>Government of Estonia</w:t>
      </w:r>
      <w:r w:rsidRPr="00E33E20">
        <w:rPr>
          <w:rFonts w:ascii="Arial" w:hAnsi="Arial" w:cs="Arial"/>
          <w:sz w:val="24"/>
          <w:szCs w:val="24"/>
          <w:lang w:val="en-US"/>
        </w:rPr>
        <w:t xml:space="preserve">, in accordance with article 22 of the Constitution of the International Labour </w:t>
      </w:r>
      <w:proofErr w:type="spellStart"/>
      <w:r w:rsidRPr="00E33E20">
        <w:rPr>
          <w:rFonts w:ascii="Arial" w:hAnsi="Arial" w:cs="Arial"/>
          <w:sz w:val="24"/>
          <w:szCs w:val="24"/>
          <w:lang w:val="en-US"/>
        </w:rPr>
        <w:t>Organisation</w:t>
      </w:r>
      <w:proofErr w:type="spellEnd"/>
      <w:r w:rsidRPr="00E33E20">
        <w:rPr>
          <w:rFonts w:ascii="Arial" w:hAnsi="Arial" w:cs="Arial"/>
          <w:sz w:val="24"/>
          <w:szCs w:val="24"/>
          <w:lang w:val="en-US"/>
        </w:rPr>
        <w:t>, on the measures taken to give effect to the provisions of the</w:t>
      </w:r>
    </w:p>
    <w:p w14:paraId="5ABED4BC" w14:textId="77777777" w:rsidR="002A23C2" w:rsidRPr="00E33E20" w:rsidRDefault="002A23C2" w:rsidP="009174FD">
      <w:pPr>
        <w:autoSpaceDE w:val="0"/>
        <w:autoSpaceDN w:val="0"/>
        <w:adjustRightInd w:val="0"/>
        <w:spacing w:after="0" w:line="240" w:lineRule="auto"/>
        <w:jc w:val="both"/>
        <w:rPr>
          <w:rFonts w:ascii="Arial" w:hAnsi="Arial" w:cs="Arial"/>
          <w:b/>
          <w:bCs/>
          <w:sz w:val="24"/>
          <w:szCs w:val="24"/>
          <w:lang w:val="en-US"/>
        </w:rPr>
      </w:pPr>
    </w:p>
    <w:p w14:paraId="5DC8774D" w14:textId="529554AF" w:rsidR="002A23C2" w:rsidRPr="00E33E20" w:rsidRDefault="00B83AB1" w:rsidP="009174FD">
      <w:pPr>
        <w:autoSpaceDE w:val="0"/>
        <w:autoSpaceDN w:val="0"/>
        <w:adjustRightInd w:val="0"/>
        <w:spacing w:after="0" w:line="240" w:lineRule="auto"/>
        <w:jc w:val="center"/>
        <w:rPr>
          <w:rFonts w:ascii="Arial" w:hAnsi="Arial" w:cs="Arial"/>
          <w:b/>
          <w:bCs/>
          <w:sz w:val="24"/>
          <w:szCs w:val="24"/>
          <w:lang w:val="en-US"/>
        </w:rPr>
      </w:pPr>
      <w:r w:rsidRPr="00E33E20">
        <w:rPr>
          <w:rFonts w:ascii="Arial" w:hAnsi="Arial" w:cs="Arial"/>
          <w:b/>
          <w:bCs/>
          <w:sz w:val="24"/>
          <w:szCs w:val="24"/>
          <w:lang w:val="en-US"/>
        </w:rPr>
        <w:t>Labour Inspection (Agriculture) Convention, 1969 (No. 129)</w:t>
      </w:r>
    </w:p>
    <w:p w14:paraId="45DEAF04" w14:textId="77777777" w:rsidR="00B83AB1" w:rsidRPr="00E33E20" w:rsidRDefault="00B83AB1" w:rsidP="009174FD">
      <w:pPr>
        <w:autoSpaceDE w:val="0"/>
        <w:autoSpaceDN w:val="0"/>
        <w:adjustRightInd w:val="0"/>
        <w:spacing w:after="0" w:line="240" w:lineRule="auto"/>
        <w:jc w:val="both"/>
        <w:rPr>
          <w:rFonts w:ascii="Arial" w:hAnsi="Arial" w:cs="Arial"/>
          <w:b/>
          <w:bCs/>
          <w:sz w:val="24"/>
          <w:szCs w:val="24"/>
          <w:lang w:val="en-US"/>
        </w:rPr>
      </w:pPr>
    </w:p>
    <w:p w14:paraId="6E95A182" w14:textId="77777777" w:rsidR="002A23C2" w:rsidRPr="00E33E20" w:rsidRDefault="002A23C2" w:rsidP="009174FD">
      <w:pPr>
        <w:spacing w:after="0" w:line="240" w:lineRule="auto"/>
        <w:jc w:val="both"/>
        <w:rPr>
          <w:rFonts w:ascii="Arial" w:hAnsi="Arial" w:cs="Arial"/>
          <w:bCs/>
          <w:sz w:val="24"/>
          <w:szCs w:val="24"/>
          <w:lang w:val="en-US"/>
        </w:rPr>
      </w:pPr>
      <w:r w:rsidRPr="00E33E20">
        <w:rPr>
          <w:rFonts w:ascii="Arial" w:hAnsi="Arial" w:cs="Arial"/>
          <w:bCs/>
          <w:sz w:val="24"/>
          <w:szCs w:val="24"/>
          <w:lang w:val="en-US"/>
        </w:rPr>
        <w:t>There have been no amendments to the relevant legislation compared to the previous reporting period.</w:t>
      </w:r>
    </w:p>
    <w:p w14:paraId="016BD6EB" w14:textId="77777777" w:rsidR="00222D0E" w:rsidRPr="00E33E20" w:rsidRDefault="00222D0E" w:rsidP="009174FD">
      <w:pPr>
        <w:spacing w:after="0" w:line="240" w:lineRule="auto"/>
        <w:jc w:val="both"/>
        <w:rPr>
          <w:rFonts w:ascii="Arial" w:hAnsi="Arial" w:cs="Arial"/>
          <w:bCs/>
          <w:sz w:val="24"/>
          <w:szCs w:val="24"/>
          <w:lang w:val="en-US"/>
        </w:rPr>
      </w:pPr>
    </w:p>
    <w:p w14:paraId="7D61DE93" w14:textId="1FA8B435" w:rsidR="002A23C2" w:rsidRPr="00E33E20" w:rsidRDefault="00222D0E" w:rsidP="00BB64D9">
      <w:pPr>
        <w:spacing w:after="0" w:line="240" w:lineRule="auto"/>
        <w:jc w:val="both"/>
        <w:rPr>
          <w:rFonts w:ascii="Arial" w:hAnsi="Arial" w:cs="Arial"/>
          <w:bCs/>
          <w:sz w:val="24"/>
          <w:szCs w:val="24"/>
          <w:u w:val="single"/>
          <w:lang w:val="en-US"/>
        </w:rPr>
      </w:pPr>
      <w:proofErr w:type="gramStart"/>
      <w:r w:rsidRPr="00E33E20">
        <w:rPr>
          <w:rFonts w:ascii="Arial" w:hAnsi="Arial" w:cs="Arial"/>
          <w:bCs/>
          <w:sz w:val="24"/>
          <w:szCs w:val="24"/>
          <w:u w:val="single"/>
          <w:lang w:val="en-US"/>
        </w:rPr>
        <w:t>Taking into account</w:t>
      </w:r>
      <w:proofErr w:type="gramEnd"/>
      <w:r w:rsidRPr="00E33E20">
        <w:rPr>
          <w:rFonts w:ascii="Arial" w:hAnsi="Arial" w:cs="Arial"/>
          <w:bCs/>
          <w:sz w:val="24"/>
          <w:szCs w:val="24"/>
          <w:u w:val="single"/>
          <w:lang w:val="en-US"/>
        </w:rPr>
        <w:t xml:space="preserve"> the relevant comments of the CEACR, we would like to give the following information:</w:t>
      </w:r>
    </w:p>
    <w:p w14:paraId="42873117" w14:textId="77777777" w:rsidR="00950A5A" w:rsidRPr="00E33E20" w:rsidRDefault="00950A5A" w:rsidP="009174FD">
      <w:pPr>
        <w:autoSpaceDE w:val="0"/>
        <w:autoSpaceDN w:val="0"/>
        <w:adjustRightInd w:val="0"/>
        <w:spacing w:after="0" w:line="240" w:lineRule="auto"/>
        <w:jc w:val="both"/>
        <w:rPr>
          <w:rFonts w:ascii="Arial" w:hAnsi="Arial" w:cs="Arial"/>
          <w:sz w:val="24"/>
          <w:szCs w:val="24"/>
          <w:lang w:val="en-US"/>
        </w:rPr>
      </w:pPr>
    </w:p>
    <w:p w14:paraId="2F149893" w14:textId="1B2DE455" w:rsidR="002A23C2" w:rsidRPr="00E33E20" w:rsidRDefault="008322BA" w:rsidP="009174FD">
      <w:pPr>
        <w:autoSpaceDE w:val="0"/>
        <w:autoSpaceDN w:val="0"/>
        <w:adjustRightInd w:val="0"/>
        <w:spacing w:after="0" w:line="240" w:lineRule="auto"/>
        <w:jc w:val="both"/>
        <w:rPr>
          <w:rFonts w:ascii="Arial" w:hAnsi="Arial" w:cs="Arial"/>
          <w:b/>
          <w:bCs/>
          <w:sz w:val="24"/>
          <w:szCs w:val="24"/>
          <w:lang w:val="en-US"/>
        </w:rPr>
      </w:pPr>
      <w:r w:rsidRPr="00E33E20">
        <w:rPr>
          <w:rFonts w:ascii="Arial" w:hAnsi="Arial" w:cs="Arial"/>
          <w:b/>
          <w:bCs/>
          <w:sz w:val="24"/>
          <w:szCs w:val="24"/>
          <w:lang w:val="en-US"/>
        </w:rPr>
        <w:t>Labour inspections &amp; migrant workers</w:t>
      </w:r>
    </w:p>
    <w:p w14:paraId="39062747" w14:textId="77777777" w:rsidR="00D6764C" w:rsidRPr="00E33E20" w:rsidRDefault="00D6764C" w:rsidP="009174FD">
      <w:pPr>
        <w:autoSpaceDE w:val="0"/>
        <w:autoSpaceDN w:val="0"/>
        <w:adjustRightInd w:val="0"/>
        <w:spacing w:after="0" w:line="240" w:lineRule="auto"/>
        <w:jc w:val="both"/>
        <w:rPr>
          <w:rFonts w:ascii="Arial" w:hAnsi="Arial" w:cs="Arial"/>
          <w:b/>
          <w:bCs/>
          <w:sz w:val="24"/>
          <w:szCs w:val="24"/>
          <w:lang w:val="en-US"/>
        </w:rPr>
      </w:pPr>
    </w:p>
    <w:p w14:paraId="15E675E2" w14:textId="77777777" w:rsidR="00241013" w:rsidRPr="00E33E20" w:rsidRDefault="002C40CD"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When carrying out supervision, the Labour Inspectorate reviews the working conditions of all employees regardless of their origin.</w:t>
      </w:r>
    </w:p>
    <w:p w14:paraId="0811507B" w14:textId="77777777" w:rsidR="00241013" w:rsidRPr="00E33E20" w:rsidRDefault="00241013" w:rsidP="009174FD">
      <w:pPr>
        <w:autoSpaceDE w:val="0"/>
        <w:autoSpaceDN w:val="0"/>
        <w:adjustRightInd w:val="0"/>
        <w:spacing w:after="0" w:line="240" w:lineRule="auto"/>
        <w:jc w:val="both"/>
        <w:rPr>
          <w:rFonts w:ascii="Arial" w:hAnsi="Arial" w:cs="Arial"/>
          <w:sz w:val="24"/>
          <w:szCs w:val="24"/>
          <w:lang w:val="en-US"/>
        </w:rPr>
      </w:pPr>
    </w:p>
    <w:p w14:paraId="7BF8F2C3" w14:textId="357DC636" w:rsidR="002C40CD" w:rsidRPr="00E33E20" w:rsidRDefault="00241013"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To start with, labour inspectors</w:t>
      </w:r>
      <w:r w:rsidR="002C40CD" w:rsidRPr="00E33E20">
        <w:rPr>
          <w:rFonts w:ascii="Arial" w:hAnsi="Arial" w:cs="Arial"/>
          <w:sz w:val="24"/>
          <w:szCs w:val="24"/>
          <w:lang w:val="en-US"/>
        </w:rPr>
        <w:t xml:space="preserve"> have identified cases where migrant workers are treated worse than Estonian citizens due to their vulnerable situation (i.e. lower wages are paid, more work is required, </w:t>
      </w:r>
      <w:r w:rsidRPr="00E33E20">
        <w:rPr>
          <w:rFonts w:ascii="Arial" w:hAnsi="Arial" w:cs="Arial"/>
          <w:sz w:val="24"/>
          <w:szCs w:val="24"/>
          <w:lang w:val="en-US"/>
        </w:rPr>
        <w:t xml:space="preserve">personal protective equipment </w:t>
      </w:r>
      <w:r w:rsidR="002C40CD" w:rsidRPr="00E33E20">
        <w:rPr>
          <w:rFonts w:ascii="Arial" w:hAnsi="Arial" w:cs="Arial"/>
          <w:sz w:val="24"/>
          <w:szCs w:val="24"/>
          <w:lang w:val="en-US"/>
        </w:rPr>
        <w:t>is not provided, etc.).</w:t>
      </w:r>
      <w:r w:rsidRPr="00E33E20">
        <w:rPr>
          <w:rFonts w:ascii="Arial" w:hAnsi="Arial" w:cs="Arial"/>
          <w:sz w:val="24"/>
          <w:szCs w:val="24"/>
          <w:lang w:val="en-US"/>
        </w:rPr>
        <w:t xml:space="preserve"> </w:t>
      </w:r>
      <w:r w:rsidR="002C40CD" w:rsidRPr="00E33E20">
        <w:rPr>
          <w:rFonts w:ascii="Arial" w:hAnsi="Arial" w:cs="Arial"/>
          <w:sz w:val="24"/>
          <w:szCs w:val="24"/>
          <w:lang w:val="en-US"/>
        </w:rPr>
        <w:t xml:space="preserve">In such a situation, the inspector can issue a precept and demand the elimination of the violation, if necessary securing it with a penalty payment, and in the case of more serious violations for which misdemeanor liability is provided (e.g. violation of work and rest time requirements, failure to inform about working conditions, failure to issue </w:t>
      </w:r>
      <w:r w:rsidRPr="00E33E20">
        <w:rPr>
          <w:rFonts w:ascii="Arial" w:hAnsi="Arial" w:cs="Arial"/>
          <w:sz w:val="24"/>
          <w:szCs w:val="24"/>
          <w:lang w:val="en-US"/>
        </w:rPr>
        <w:t>personal protective equipment</w:t>
      </w:r>
      <w:r w:rsidR="002C40CD" w:rsidRPr="00E33E20">
        <w:rPr>
          <w:rFonts w:ascii="Arial" w:hAnsi="Arial" w:cs="Arial"/>
          <w:sz w:val="24"/>
          <w:szCs w:val="24"/>
          <w:lang w:val="en-US"/>
        </w:rPr>
        <w:t>), initiate misdemeanor proceedings and apply a fine.</w:t>
      </w:r>
    </w:p>
    <w:p w14:paraId="1ED7043A" w14:textId="77777777" w:rsidR="002C40CD" w:rsidRPr="00E33E20" w:rsidRDefault="002C40CD" w:rsidP="009174FD">
      <w:pPr>
        <w:autoSpaceDE w:val="0"/>
        <w:autoSpaceDN w:val="0"/>
        <w:adjustRightInd w:val="0"/>
        <w:spacing w:after="0" w:line="240" w:lineRule="auto"/>
        <w:jc w:val="both"/>
        <w:rPr>
          <w:rFonts w:ascii="Arial" w:hAnsi="Arial" w:cs="Arial"/>
          <w:sz w:val="24"/>
          <w:szCs w:val="24"/>
          <w:lang w:val="en-US"/>
        </w:rPr>
      </w:pPr>
    </w:p>
    <w:p w14:paraId="18862D29" w14:textId="4211A54B" w:rsidR="002C40CD" w:rsidRPr="00E33E20" w:rsidRDefault="002C40CD"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 xml:space="preserve">Secondly, if migrant workers are discovered during the supervision, the information is forwarded to the Police and Border Guard, who can verify whether the person has a legal basis for staying in the country. In addition, </w:t>
      </w:r>
      <w:r w:rsidR="00241013" w:rsidRPr="00E33E20">
        <w:rPr>
          <w:rFonts w:ascii="Arial" w:hAnsi="Arial" w:cs="Arial"/>
          <w:sz w:val="24"/>
          <w:szCs w:val="24"/>
          <w:lang w:val="en-US"/>
        </w:rPr>
        <w:t>labour inspectors</w:t>
      </w:r>
      <w:r w:rsidRPr="00E33E20">
        <w:rPr>
          <w:rFonts w:ascii="Arial" w:hAnsi="Arial" w:cs="Arial"/>
          <w:sz w:val="24"/>
          <w:szCs w:val="24"/>
          <w:lang w:val="en-US"/>
        </w:rPr>
        <w:t xml:space="preserve"> constantly conduct joint inspections with the Police and Border Guard and the Tax and Customs Board to identify labor exploitation (or human trafficking) and violations of the Aliens Act and Taxation Acts.</w:t>
      </w:r>
      <w:r w:rsidR="00241013" w:rsidRPr="00E33E20">
        <w:rPr>
          <w:rFonts w:ascii="Arial" w:hAnsi="Arial" w:cs="Arial"/>
          <w:sz w:val="24"/>
          <w:szCs w:val="24"/>
          <w:lang w:val="en-US"/>
        </w:rPr>
        <w:t xml:space="preserve"> For detailed information, also look for our report of ratified conventions in 2024 for the Protocol of 2014 to the Forced Labour Convention.</w:t>
      </w:r>
    </w:p>
    <w:p w14:paraId="13A714F1" w14:textId="77777777" w:rsidR="002C40CD" w:rsidRPr="00E33E20" w:rsidRDefault="002C40CD" w:rsidP="009174FD">
      <w:pPr>
        <w:autoSpaceDE w:val="0"/>
        <w:autoSpaceDN w:val="0"/>
        <w:adjustRightInd w:val="0"/>
        <w:spacing w:after="0" w:line="240" w:lineRule="auto"/>
        <w:jc w:val="both"/>
        <w:rPr>
          <w:rFonts w:ascii="Arial" w:hAnsi="Arial" w:cs="Arial"/>
          <w:sz w:val="24"/>
          <w:szCs w:val="24"/>
          <w:lang w:val="en-US"/>
        </w:rPr>
      </w:pPr>
    </w:p>
    <w:p w14:paraId="6E7F3D5B" w14:textId="6AF82270" w:rsidR="002C40CD" w:rsidRPr="00E33E20" w:rsidRDefault="002C40CD"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 xml:space="preserve">The Labour Inspectorate has no competency when it comes to social security benefits. If </w:t>
      </w:r>
      <w:r w:rsidR="00241013" w:rsidRPr="00E33E20">
        <w:rPr>
          <w:rFonts w:ascii="Arial" w:hAnsi="Arial" w:cs="Arial"/>
          <w:sz w:val="24"/>
          <w:szCs w:val="24"/>
          <w:lang w:val="en-US"/>
        </w:rPr>
        <w:t>the labour inspector</w:t>
      </w:r>
      <w:r w:rsidRPr="00E33E20">
        <w:rPr>
          <w:rFonts w:ascii="Arial" w:hAnsi="Arial" w:cs="Arial"/>
          <w:sz w:val="24"/>
          <w:szCs w:val="24"/>
          <w:lang w:val="en-US"/>
        </w:rPr>
        <w:t xml:space="preserve"> determine</w:t>
      </w:r>
      <w:r w:rsidR="00241013" w:rsidRPr="00E33E20">
        <w:rPr>
          <w:rFonts w:ascii="Arial" w:hAnsi="Arial" w:cs="Arial"/>
          <w:sz w:val="24"/>
          <w:szCs w:val="24"/>
          <w:lang w:val="en-US"/>
        </w:rPr>
        <w:t>s</w:t>
      </w:r>
      <w:r w:rsidRPr="00E33E20">
        <w:rPr>
          <w:rFonts w:ascii="Arial" w:hAnsi="Arial" w:cs="Arial"/>
          <w:sz w:val="24"/>
          <w:szCs w:val="24"/>
          <w:lang w:val="en-US"/>
        </w:rPr>
        <w:t xml:space="preserve"> that wages have been paid below the national minimum, </w:t>
      </w:r>
      <w:r w:rsidR="00241013" w:rsidRPr="00E33E20">
        <w:rPr>
          <w:rFonts w:ascii="Arial" w:hAnsi="Arial" w:cs="Arial"/>
          <w:sz w:val="24"/>
          <w:szCs w:val="24"/>
          <w:lang w:val="en-US"/>
        </w:rPr>
        <w:t>they</w:t>
      </w:r>
      <w:r w:rsidRPr="00E33E20">
        <w:rPr>
          <w:rFonts w:ascii="Arial" w:hAnsi="Arial" w:cs="Arial"/>
          <w:sz w:val="24"/>
          <w:szCs w:val="24"/>
          <w:lang w:val="en-US"/>
        </w:rPr>
        <w:t xml:space="preserve"> can oblige the employer to pay at least the minimum wage. The labor inspector also has the legal competency to supervise work performed under special conditions (e.g. overtime, working on public holidays and at night-time) and demand compensation of hereof. In addition, the employee has the right to turn to the Labour Dispute Committee or to court with claims for unpaid wages. The Police and Border Guard has the right to oblige the employer to pay the wage rate prescribed for foreigners in the Aliens Act (</w:t>
      </w:r>
      <w:r w:rsidR="00241013" w:rsidRPr="00E33E20">
        <w:rPr>
          <w:rFonts w:ascii="Arial" w:hAnsi="Arial" w:cs="Arial"/>
          <w:sz w:val="24"/>
          <w:szCs w:val="24"/>
          <w:lang w:val="en-US"/>
        </w:rPr>
        <w:t>§</w:t>
      </w:r>
      <w:r w:rsidRPr="00E33E20">
        <w:rPr>
          <w:rFonts w:ascii="Arial" w:hAnsi="Arial" w:cs="Arial"/>
          <w:sz w:val="24"/>
          <w:szCs w:val="24"/>
          <w:lang w:val="en-US"/>
        </w:rPr>
        <w:t xml:space="preserve"> 286.3)</w:t>
      </w:r>
    </w:p>
    <w:p w14:paraId="577F502C" w14:textId="77777777" w:rsidR="00D6764C" w:rsidRPr="00E33E20" w:rsidRDefault="00D6764C" w:rsidP="009174FD">
      <w:pPr>
        <w:autoSpaceDE w:val="0"/>
        <w:autoSpaceDN w:val="0"/>
        <w:adjustRightInd w:val="0"/>
        <w:spacing w:after="0" w:line="240" w:lineRule="auto"/>
        <w:jc w:val="both"/>
        <w:rPr>
          <w:rFonts w:ascii="Arial" w:hAnsi="Arial" w:cs="Arial"/>
          <w:b/>
          <w:bCs/>
          <w:sz w:val="24"/>
          <w:szCs w:val="24"/>
          <w:lang w:val="en-US"/>
        </w:rPr>
      </w:pPr>
    </w:p>
    <w:p w14:paraId="06A03CFF" w14:textId="77777777" w:rsidR="00F77519" w:rsidRPr="00E33E20" w:rsidRDefault="00F77519" w:rsidP="009174FD">
      <w:pPr>
        <w:autoSpaceDE w:val="0"/>
        <w:autoSpaceDN w:val="0"/>
        <w:adjustRightInd w:val="0"/>
        <w:spacing w:after="0" w:line="240" w:lineRule="auto"/>
        <w:jc w:val="both"/>
        <w:rPr>
          <w:rFonts w:ascii="Arial" w:hAnsi="Arial" w:cs="Arial"/>
          <w:b/>
          <w:bCs/>
          <w:sz w:val="24"/>
          <w:szCs w:val="24"/>
          <w:lang w:val="en-US"/>
        </w:rPr>
      </w:pPr>
    </w:p>
    <w:p w14:paraId="588A0841" w14:textId="77777777" w:rsidR="00F77519" w:rsidRPr="00E33E20" w:rsidRDefault="00F77519" w:rsidP="009174FD">
      <w:pPr>
        <w:autoSpaceDE w:val="0"/>
        <w:autoSpaceDN w:val="0"/>
        <w:adjustRightInd w:val="0"/>
        <w:spacing w:after="0" w:line="240" w:lineRule="auto"/>
        <w:jc w:val="both"/>
        <w:rPr>
          <w:rFonts w:ascii="Arial" w:hAnsi="Arial" w:cs="Arial"/>
          <w:b/>
          <w:bCs/>
          <w:sz w:val="24"/>
          <w:szCs w:val="24"/>
          <w:lang w:val="en-US"/>
        </w:rPr>
      </w:pPr>
    </w:p>
    <w:p w14:paraId="32DCC19B" w14:textId="77777777" w:rsidR="00F77519" w:rsidRPr="00E33E20" w:rsidRDefault="00F77519" w:rsidP="009174FD">
      <w:pPr>
        <w:autoSpaceDE w:val="0"/>
        <w:autoSpaceDN w:val="0"/>
        <w:adjustRightInd w:val="0"/>
        <w:spacing w:after="0" w:line="240" w:lineRule="auto"/>
        <w:jc w:val="both"/>
        <w:rPr>
          <w:rFonts w:ascii="Arial" w:hAnsi="Arial" w:cs="Arial"/>
          <w:b/>
          <w:bCs/>
          <w:sz w:val="24"/>
          <w:szCs w:val="24"/>
          <w:lang w:val="en-US"/>
        </w:rPr>
      </w:pPr>
    </w:p>
    <w:p w14:paraId="3758BA1F" w14:textId="77777777" w:rsidR="00F77519" w:rsidRPr="00E33E20" w:rsidRDefault="00F77519" w:rsidP="009174FD">
      <w:pPr>
        <w:autoSpaceDE w:val="0"/>
        <w:autoSpaceDN w:val="0"/>
        <w:adjustRightInd w:val="0"/>
        <w:spacing w:after="0" w:line="240" w:lineRule="auto"/>
        <w:jc w:val="both"/>
        <w:rPr>
          <w:rFonts w:ascii="Arial" w:hAnsi="Arial" w:cs="Arial"/>
          <w:b/>
          <w:bCs/>
          <w:sz w:val="24"/>
          <w:szCs w:val="24"/>
          <w:lang w:val="en-US"/>
        </w:rPr>
      </w:pPr>
    </w:p>
    <w:p w14:paraId="6FAA0418" w14:textId="790D605A" w:rsidR="00F77519" w:rsidRPr="00E33E20" w:rsidRDefault="0077794E" w:rsidP="009174FD">
      <w:pPr>
        <w:spacing w:after="0" w:line="240" w:lineRule="auto"/>
        <w:jc w:val="both"/>
        <w:rPr>
          <w:rFonts w:ascii="Arial" w:hAnsi="Arial" w:cs="Arial"/>
          <w:b/>
          <w:sz w:val="24"/>
          <w:szCs w:val="24"/>
          <w:lang w:val="en-US"/>
        </w:rPr>
      </w:pPr>
      <w:r>
        <w:rPr>
          <w:rFonts w:ascii="Arial" w:hAnsi="Arial" w:cs="Arial"/>
          <w:b/>
          <w:sz w:val="24"/>
          <w:szCs w:val="24"/>
          <w:lang w:val="en-US"/>
        </w:rPr>
        <w:t>Conditions of service and number of l</w:t>
      </w:r>
      <w:r w:rsidR="00F77519" w:rsidRPr="00E33E20">
        <w:rPr>
          <w:rFonts w:ascii="Arial" w:hAnsi="Arial" w:cs="Arial"/>
          <w:b/>
          <w:sz w:val="24"/>
          <w:szCs w:val="24"/>
          <w:lang w:val="en-US"/>
        </w:rPr>
        <w:t>abour inspectors</w:t>
      </w:r>
    </w:p>
    <w:p w14:paraId="0CF5861C" w14:textId="77777777" w:rsidR="00B22242" w:rsidRPr="00E33E20" w:rsidRDefault="00B22242" w:rsidP="009174FD">
      <w:pPr>
        <w:spacing w:after="0" w:line="240" w:lineRule="auto"/>
        <w:jc w:val="both"/>
        <w:rPr>
          <w:rFonts w:ascii="Arial" w:hAnsi="Arial" w:cs="Arial"/>
          <w:b/>
          <w:sz w:val="24"/>
          <w:szCs w:val="24"/>
          <w:lang w:val="en-US"/>
        </w:rPr>
      </w:pPr>
    </w:p>
    <w:p w14:paraId="22356EF4" w14:textId="5EEBC2E7" w:rsidR="005B4451" w:rsidRDefault="00A52F41" w:rsidP="00A52F41">
      <w:pPr>
        <w:jc w:val="both"/>
        <w:rPr>
          <w:rFonts w:ascii="Arial" w:hAnsi="Arial" w:cs="Arial"/>
          <w:sz w:val="24"/>
          <w:szCs w:val="24"/>
          <w:lang w:val="en-US"/>
        </w:rPr>
      </w:pPr>
      <w:r>
        <w:rPr>
          <w:rFonts w:ascii="Arial" w:hAnsi="Arial" w:cs="Arial"/>
          <w:sz w:val="24"/>
          <w:szCs w:val="24"/>
          <w:lang w:val="en-US"/>
        </w:rPr>
        <w:t xml:space="preserve">The Committee points out in the Direct Request statistics regarding the </w:t>
      </w:r>
      <w:r w:rsidRPr="00A52F41">
        <w:rPr>
          <w:rFonts w:ascii="Arial" w:hAnsi="Arial" w:cs="Arial"/>
          <w:sz w:val="24"/>
          <w:szCs w:val="24"/>
          <w:lang w:val="en-US"/>
        </w:rPr>
        <w:t xml:space="preserve">number of approved posts for </w:t>
      </w:r>
      <w:r>
        <w:rPr>
          <w:rFonts w:ascii="Arial" w:hAnsi="Arial" w:cs="Arial"/>
          <w:sz w:val="24"/>
          <w:szCs w:val="24"/>
          <w:lang w:val="en-US"/>
        </w:rPr>
        <w:t>Labour Inspectorate, specifically how it has been</w:t>
      </w:r>
      <w:r w:rsidRPr="00A52F41">
        <w:rPr>
          <w:rFonts w:ascii="Arial" w:hAnsi="Arial" w:cs="Arial"/>
          <w:sz w:val="24"/>
          <w:szCs w:val="24"/>
          <w:lang w:val="en-US"/>
        </w:rPr>
        <w:t xml:space="preserve"> decreasing over time</w:t>
      </w:r>
      <w:r>
        <w:rPr>
          <w:rFonts w:ascii="Arial" w:hAnsi="Arial" w:cs="Arial"/>
          <w:sz w:val="24"/>
          <w:szCs w:val="24"/>
          <w:lang w:val="en-US"/>
        </w:rPr>
        <w:t xml:space="preserve"> (</w:t>
      </w:r>
      <w:r w:rsidRPr="00A52F41">
        <w:rPr>
          <w:rFonts w:ascii="Arial" w:hAnsi="Arial" w:cs="Arial"/>
          <w:sz w:val="24"/>
          <w:szCs w:val="24"/>
          <w:lang w:val="en-US"/>
        </w:rPr>
        <w:t>from 113.5 in 2017 to 107.5 in 2021</w:t>
      </w:r>
      <w:r>
        <w:rPr>
          <w:rFonts w:ascii="Arial" w:hAnsi="Arial" w:cs="Arial"/>
          <w:sz w:val="24"/>
          <w:szCs w:val="24"/>
          <w:lang w:val="en-US"/>
        </w:rPr>
        <w:t>)</w:t>
      </w:r>
      <w:r w:rsidRPr="00A52F41">
        <w:rPr>
          <w:rFonts w:ascii="Arial" w:hAnsi="Arial" w:cs="Arial"/>
          <w:sz w:val="24"/>
          <w:szCs w:val="24"/>
          <w:lang w:val="en-US"/>
        </w:rPr>
        <w:t>.</w:t>
      </w:r>
      <w:r w:rsidR="008F606F">
        <w:rPr>
          <w:rStyle w:val="Allmrkuseviide"/>
          <w:rFonts w:ascii="Arial" w:hAnsi="Arial" w:cs="Arial"/>
          <w:sz w:val="24"/>
          <w:szCs w:val="24"/>
          <w:lang w:val="en-US"/>
        </w:rPr>
        <w:footnoteReference w:id="2"/>
      </w:r>
      <w:r>
        <w:rPr>
          <w:rFonts w:ascii="Arial" w:hAnsi="Arial" w:cs="Arial"/>
          <w:sz w:val="24"/>
          <w:szCs w:val="24"/>
          <w:lang w:val="en-US"/>
        </w:rPr>
        <w:t xml:space="preserve"> </w:t>
      </w:r>
      <w:r w:rsidR="008F606F">
        <w:rPr>
          <w:rFonts w:ascii="Arial" w:hAnsi="Arial" w:cs="Arial"/>
          <w:sz w:val="24"/>
          <w:szCs w:val="24"/>
          <w:lang w:val="en-US"/>
        </w:rPr>
        <w:t>However, w</w:t>
      </w:r>
      <w:r>
        <w:rPr>
          <w:rFonts w:ascii="Arial" w:hAnsi="Arial" w:cs="Arial"/>
          <w:sz w:val="24"/>
          <w:szCs w:val="24"/>
          <w:lang w:val="en-US"/>
        </w:rPr>
        <w:t xml:space="preserve">e would like to draw the Committee’s attention to the fact that as of </w:t>
      </w:r>
      <w:r w:rsidR="002337F9">
        <w:rPr>
          <w:rFonts w:ascii="Arial" w:hAnsi="Arial" w:cs="Arial"/>
          <w:sz w:val="24"/>
          <w:szCs w:val="24"/>
          <w:lang w:val="en-US"/>
        </w:rPr>
        <w:t>31.12.2024</w:t>
      </w:r>
      <w:r>
        <w:rPr>
          <w:rFonts w:ascii="Arial" w:hAnsi="Arial" w:cs="Arial"/>
          <w:sz w:val="24"/>
          <w:szCs w:val="24"/>
          <w:lang w:val="en-US"/>
        </w:rPr>
        <w:t xml:space="preserve">, the </w:t>
      </w:r>
      <w:r w:rsidRPr="00A52F41">
        <w:rPr>
          <w:rFonts w:ascii="Arial" w:hAnsi="Arial" w:cs="Arial"/>
          <w:sz w:val="24"/>
          <w:szCs w:val="24"/>
          <w:lang w:val="en-US"/>
        </w:rPr>
        <w:t xml:space="preserve">number of </w:t>
      </w:r>
      <w:r w:rsidR="002337F9">
        <w:rPr>
          <w:rFonts w:ascii="Arial" w:hAnsi="Arial" w:cs="Arial"/>
          <w:sz w:val="24"/>
          <w:szCs w:val="24"/>
          <w:lang w:val="en-US"/>
        </w:rPr>
        <w:t>people working in the</w:t>
      </w:r>
      <w:r w:rsidRPr="00A52F41">
        <w:rPr>
          <w:rFonts w:ascii="Arial" w:hAnsi="Arial" w:cs="Arial"/>
          <w:sz w:val="24"/>
          <w:szCs w:val="24"/>
          <w:lang w:val="en-US"/>
        </w:rPr>
        <w:t xml:space="preserve"> </w:t>
      </w:r>
      <w:r>
        <w:rPr>
          <w:rFonts w:ascii="Arial" w:hAnsi="Arial" w:cs="Arial"/>
          <w:sz w:val="24"/>
          <w:szCs w:val="24"/>
          <w:lang w:val="en-US"/>
        </w:rPr>
        <w:t>L</w:t>
      </w:r>
      <w:r w:rsidRPr="00A52F41">
        <w:rPr>
          <w:rFonts w:ascii="Arial" w:hAnsi="Arial" w:cs="Arial"/>
          <w:sz w:val="24"/>
          <w:szCs w:val="24"/>
          <w:lang w:val="en-US"/>
        </w:rPr>
        <w:t xml:space="preserve">abour </w:t>
      </w:r>
      <w:r>
        <w:rPr>
          <w:rFonts w:ascii="Arial" w:hAnsi="Arial" w:cs="Arial"/>
          <w:sz w:val="24"/>
          <w:szCs w:val="24"/>
          <w:lang w:val="en-US"/>
        </w:rPr>
        <w:t>I</w:t>
      </w:r>
      <w:r w:rsidRPr="00A52F41">
        <w:rPr>
          <w:rFonts w:ascii="Arial" w:hAnsi="Arial" w:cs="Arial"/>
          <w:sz w:val="24"/>
          <w:szCs w:val="24"/>
          <w:lang w:val="en-US"/>
        </w:rPr>
        <w:t>nspector</w:t>
      </w:r>
      <w:r>
        <w:rPr>
          <w:rFonts w:ascii="Arial" w:hAnsi="Arial" w:cs="Arial"/>
          <w:sz w:val="24"/>
          <w:szCs w:val="24"/>
          <w:lang w:val="en-US"/>
        </w:rPr>
        <w:t xml:space="preserve">ate </w:t>
      </w:r>
      <w:r w:rsidR="002337F9">
        <w:rPr>
          <w:rFonts w:ascii="Arial" w:hAnsi="Arial" w:cs="Arial"/>
          <w:sz w:val="24"/>
          <w:szCs w:val="24"/>
          <w:lang w:val="en-US"/>
        </w:rPr>
        <w:t>was 113</w:t>
      </w:r>
      <w:r>
        <w:rPr>
          <w:rFonts w:ascii="Arial" w:hAnsi="Arial" w:cs="Arial"/>
          <w:sz w:val="24"/>
          <w:szCs w:val="24"/>
          <w:lang w:val="en-US"/>
        </w:rPr>
        <w:t xml:space="preserve">. </w:t>
      </w:r>
      <w:r w:rsidR="002337F9">
        <w:rPr>
          <w:rFonts w:ascii="Arial" w:hAnsi="Arial" w:cs="Arial"/>
          <w:sz w:val="24"/>
          <w:szCs w:val="24"/>
          <w:lang w:val="en-US"/>
        </w:rPr>
        <w:t>A</w:t>
      </w:r>
      <w:r w:rsidR="00711A8F">
        <w:rPr>
          <w:rFonts w:ascii="Arial" w:hAnsi="Arial" w:cs="Arial"/>
          <w:sz w:val="24"/>
          <w:szCs w:val="24"/>
          <w:lang w:val="en-US"/>
        </w:rPr>
        <w:t xml:space="preserve">s of 31.12.2023, there were 112 people working in the Labour Inspectorate. </w:t>
      </w:r>
      <w:r>
        <w:rPr>
          <w:rFonts w:ascii="Arial" w:hAnsi="Arial" w:cs="Arial"/>
          <w:sz w:val="24"/>
          <w:szCs w:val="24"/>
          <w:lang w:val="en-US"/>
        </w:rPr>
        <w:t xml:space="preserve">Therefore, there has not been a steady decrease in staff, but the number of </w:t>
      </w:r>
      <w:r w:rsidR="002337F9">
        <w:rPr>
          <w:rFonts w:ascii="Arial" w:hAnsi="Arial" w:cs="Arial"/>
          <w:sz w:val="24"/>
          <w:szCs w:val="24"/>
          <w:lang w:val="en-US"/>
        </w:rPr>
        <w:t>workers/positions</w:t>
      </w:r>
      <w:r>
        <w:rPr>
          <w:rFonts w:ascii="Arial" w:hAnsi="Arial" w:cs="Arial"/>
          <w:sz w:val="24"/>
          <w:szCs w:val="24"/>
          <w:lang w:val="en-US"/>
        </w:rPr>
        <w:t xml:space="preserve"> </w:t>
      </w:r>
      <w:r w:rsidR="008F606F">
        <w:rPr>
          <w:rFonts w:ascii="Arial" w:hAnsi="Arial" w:cs="Arial"/>
          <w:sz w:val="24"/>
          <w:szCs w:val="24"/>
          <w:lang w:val="en-US"/>
        </w:rPr>
        <w:t>varies</w:t>
      </w:r>
      <w:r>
        <w:rPr>
          <w:rFonts w:ascii="Arial" w:hAnsi="Arial" w:cs="Arial"/>
          <w:sz w:val="24"/>
          <w:szCs w:val="24"/>
          <w:lang w:val="en-US"/>
        </w:rPr>
        <w:t xml:space="preserve"> from year to year </w:t>
      </w:r>
      <w:r w:rsidR="008F606F">
        <w:rPr>
          <w:rFonts w:ascii="Arial" w:hAnsi="Arial" w:cs="Arial"/>
          <w:sz w:val="24"/>
          <w:szCs w:val="24"/>
          <w:lang w:val="en-US"/>
        </w:rPr>
        <w:t xml:space="preserve">(e.g. </w:t>
      </w:r>
      <w:r>
        <w:rPr>
          <w:rFonts w:ascii="Arial" w:hAnsi="Arial" w:cs="Arial"/>
          <w:sz w:val="24"/>
          <w:szCs w:val="24"/>
          <w:lang w:val="en-US"/>
        </w:rPr>
        <w:t xml:space="preserve">due to rearrangements, staff turnover </w:t>
      </w:r>
      <w:proofErr w:type="spellStart"/>
      <w:r>
        <w:rPr>
          <w:rFonts w:ascii="Arial" w:hAnsi="Arial" w:cs="Arial"/>
          <w:sz w:val="24"/>
          <w:szCs w:val="24"/>
          <w:lang w:val="en-US"/>
        </w:rPr>
        <w:t>etc</w:t>
      </w:r>
      <w:proofErr w:type="spellEnd"/>
      <w:r w:rsidR="008F606F">
        <w:rPr>
          <w:rFonts w:ascii="Arial" w:hAnsi="Arial" w:cs="Arial"/>
          <w:sz w:val="24"/>
          <w:szCs w:val="24"/>
          <w:lang w:val="en-US"/>
        </w:rPr>
        <w:t>)</w:t>
      </w:r>
      <w:r>
        <w:rPr>
          <w:rFonts w:ascii="Arial" w:hAnsi="Arial" w:cs="Arial"/>
          <w:sz w:val="24"/>
          <w:szCs w:val="24"/>
          <w:lang w:val="en-US"/>
        </w:rPr>
        <w:t>.</w:t>
      </w:r>
    </w:p>
    <w:p w14:paraId="437F97A2" w14:textId="1BA6983C" w:rsidR="005B4451" w:rsidRDefault="005B4451" w:rsidP="00035239">
      <w:pPr>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At the same time, e</w:t>
      </w:r>
      <w:r w:rsidRPr="00035239">
        <w:rPr>
          <w:rFonts w:ascii="Arial" w:hAnsi="Arial" w:cs="Arial"/>
          <w:sz w:val="24"/>
          <w:szCs w:val="24"/>
          <w:lang w:val="en-US"/>
        </w:rPr>
        <w:t>ach year, the Labour Inspectorate checks the workplace safety of nearly 100,000 employees.</w:t>
      </w:r>
      <w:r w:rsidRPr="00035239">
        <w:t xml:space="preserve"> </w:t>
      </w:r>
      <w:r w:rsidRPr="00035239">
        <w:rPr>
          <w:rFonts w:ascii="Arial" w:hAnsi="Arial" w:cs="Arial"/>
          <w:sz w:val="24"/>
          <w:szCs w:val="24"/>
          <w:lang w:val="en-US"/>
        </w:rPr>
        <w:t>Advice is given approximately 40,000 times a year by e-mail and telephone, occupational safety and mental health issues are consulted in nearly 100 companies, and more than 2,000 labour disputes are resolved annually.</w:t>
      </w:r>
      <w:r>
        <w:rPr>
          <w:rFonts w:ascii="Arial" w:hAnsi="Arial" w:cs="Arial"/>
          <w:sz w:val="24"/>
          <w:szCs w:val="24"/>
          <w:lang w:val="en-US"/>
        </w:rPr>
        <w:t xml:space="preserve"> In 2024, 3163 supervision proceedings were carried out.</w:t>
      </w:r>
      <w:r>
        <w:rPr>
          <w:rFonts w:ascii="Arial" w:hAnsi="Arial" w:cs="Arial"/>
          <w:sz w:val="24"/>
          <w:szCs w:val="24"/>
          <w:lang w:val="en-US"/>
        </w:rPr>
        <w:t xml:space="preserve"> For more detailed information please look at the 2024 yearbook of the Labour Inspectorate: </w:t>
      </w:r>
      <w:hyperlink r:id="rId20" w:history="1">
        <w:proofErr w:type="spellStart"/>
        <w:r w:rsidRPr="005B4451">
          <w:rPr>
            <w:rStyle w:val="Hperlink"/>
            <w:rFonts w:ascii="Arial" w:hAnsi="Arial" w:cs="Arial"/>
            <w:sz w:val="24"/>
            <w:szCs w:val="24"/>
          </w:rPr>
          <w:t>Yearbook</w:t>
        </w:r>
        <w:proofErr w:type="spellEnd"/>
        <w:r w:rsidRPr="005B4451">
          <w:rPr>
            <w:rStyle w:val="Hperlink"/>
            <w:rFonts w:ascii="Arial" w:hAnsi="Arial" w:cs="Arial"/>
            <w:sz w:val="24"/>
            <w:szCs w:val="24"/>
          </w:rPr>
          <w:t xml:space="preserve"> of </w:t>
        </w:r>
        <w:proofErr w:type="spellStart"/>
        <w:r w:rsidRPr="005B4451">
          <w:rPr>
            <w:rStyle w:val="Hperlink"/>
            <w:rFonts w:ascii="Arial" w:hAnsi="Arial" w:cs="Arial"/>
            <w:sz w:val="24"/>
            <w:szCs w:val="24"/>
          </w:rPr>
          <w:t>the</w:t>
        </w:r>
        <w:proofErr w:type="spellEnd"/>
        <w:r w:rsidRPr="005B4451">
          <w:rPr>
            <w:rStyle w:val="Hperlink"/>
            <w:rFonts w:ascii="Arial" w:hAnsi="Arial" w:cs="Arial"/>
            <w:sz w:val="24"/>
            <w:szCs w:val="24"/>
          </w:rPr>
          <w:t xml:space="preserve"> Labour </w:t>
        </w:r>
        <w:proofErr w:type="spellStart"/>
        <w:r w:rsidRPr="005B4451">
          <w:rPr>
            <w:rStyle w:val="Hperlink"/>
            <w:rFonts w:ascii="Arial" w:hAnsi="Arial" w:cs="Arial"/>
            <w:sz w:val="24"/>
            <w:szCs w:val="24"/>
          </w:rPr>
          <w:t>Inspectorate</w:t>
        </w:r>
        <w:proofErr w:type="spellEnd"/>
        <w:r w:rsidRPr="005B4451">
          <w:rPr>
            <w:rStyle w:val="Hperlink"/>
            <w:rFonts w:ascii="Arial" w:hAnsi="Arial" w:cs="Arial"/>
            <w:sz w:val="24"/>
            <w:szCs w:val="24"/>
          </w:rPr>
          <w:t xml:space="preserve"> 2024.pdf</w:t>
        </w:r>
      </w:hyperlink>
      <w:r>
        <w:rPr>
          <w:rFonts w:ascii="Arial" w:hAnsi="Arial" w:cs="Arial"/>
          <w:sz w:val="24"/>
          <w:szCs w:val="24"/>
          <w:lang w:val="en-US"/>
        </w:rPr>
        <w:t>.</w:t>
      </w:r>
    </w:p>
    <w:p w14:paraId="72D6FC6B" w14:textId="77777777" w:rsidR="005B4451" w:rsidRDefault="005B4451" w:rsidP="00035239">
      <w:pPr>
        <w:autoSpaceDE w:val="0"/>
        <w:autoSpaceDN w:val="0"/>
        <w:adjustRightInd w:val="0"/>
        <w:spacing w:after="0" w:line="240" w:lineRule="auto"/>
        <w:jc w:val="both"/>
        <w:rPr>
          <w:rFonts w:ascii="Arial" w:hAnsi="Arial" w:cs="Arial"/>
          <w:sz w:val="24"/>
          <w:szCs w:val="24"/>
          <w:lang w:val="en-US"/>
        </w:rPr>
      </w:pPr>
    </w:p>
    <w:p w14:paraId="2E017345" w14:textId="05A3AAAA" w:rsidR="00A52F41" w:rsidRDefault="00035239" w:rsidP="00035239">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According to the Statistics Estonia, there were approximately 698,600 wage workers employed in Estonia in 2024. The total number of labour inspector positions (including investigators and task force leaders) is</w:t>
      </w:r>
      <w:r w:rsidR="008F606F">
        <w:rPr>
          <w:rFonts w:ascii="Arial" w:hAnsi="Arial" w:cs="Arial"/>
          <w:sz w:val="24"/>
          <w:szCs w:val="24"/>
          <w:lang w:val="en-US"/>
        </w:rPr>
        <w:t xml:space="preserve"> </w:t>
      </w:r>
      <w:r w:rsidRPr="00E33E20">
        <w:rPr>
          <w:rFonts w:ascii="Arial" w:hAnsi="Arial" w:cs="Arial"/>
          <w:sz w:val="24"/>
          <w:szCs w:val="24"/>
          <w:lang w:val="en-US"/>
        </w:rPr>
        <w:t>45.</w:t>
      </w:r>
      <w:r>
        <w:rPr>
          <w:rFonts w:ascii="Arial" w:hAnsi="Arial" w:cs="Arial"/>
          <w:sz w:val="24"/>
          <w:szCs w:val="24"/>
          <w:lang w:val="en-US"/>
        </w:rPr>
        <w:t xml:space="preserve"> Therefore, there are currently aroun</w:t>
      </w:r>
      <w:r w:rsidR="004F3DC1">
        <w:rPr>
          <w:rFonts w:ascii="Arial" w:hAnsi="Arial" w:cs="Arial"/>
          <w:sz w:val="24"/>
          <w:szCs w:val="24"/>
          <w:lang w:val="en-US"/>
        </w:rPr>
        <w:t>d</w:t>
      </w:r>
      <w:r w:rsidRPr="00E33E20">
        <w:rPr>
          <w:rFonts w:ascii="Arial" w:hAnsi="Arial" w:cs="Arial"/>
          <w:sz w:val="24"/>
          <w:szCs w:val="24"/>
          <w:lang w:val="en-US"/>
        </w:rPr>
        <w:t xml:space="preserve"> 698,600 / 45 ≈ 15,524 workers per inspector</w:t>
      </w:r>
      <w:r>
        <w:rPr>
          <w:rFonts w:ascii="Arial" w:hAnsi="Arial" w:cs="Arial"/>
          <w:sz w:val="24"/>
          <w:szCs w:val="24"/>
          <w:lang w:val="en-US"/>
        </w:rPr>
        <w:t xml:space="preserve">. </w:t>
      </w:r>
    </w:p>
    <w:p w14:paraId="407C464A" w14:textId="4535A4A3" w:rsidR="004F3DC1" w:rsidRDefault="004F3DC1" w:rsidP="009174FD">
      <w:pPr>
        <w:autoSpaceDE w:val="0"/>
        <w:autoSpaceDN w:val="0"/>
        <w:adjustRightInd w:val="0"/>
        <w:spacing w:after="0" w:line="240" w:lineRule="auto"/>
        <w:jc w:val="both"/>
        <w:rPr>
          <w:rFonts w:ascii="Arial" w:hAnsi="Arial" w:cs="Arial"/>
          <w:sz w:val="24"/>
          <w:szCs w:val="24"/>
          <w:lang w:val="en-US"/>
        </w:rPr>
      </w:pPr>
    </w:p>
    <w:p w14:paraId="442E0A41" w14:textId="297E1667" w:rsidR="002A23C2" w:rsidRPr="00E33E20" w:rsidRDefault="004F3DC1" w:rsidP="009174FD">
      <w:pPr>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As of 2024, the average basic salary before taxes for civil servants in Estonia was 2434 euros.</w:t>
      </w:r>
      <w:r w:rsidRPr="004F3DC1">
        <w:t xml:space="preserve"> </w:t>
      </w:r>
      <w:r>
        <w:rPr>
          <w:rFonts w:ascii="Arial" w:hAnsi="Arial" w:cs="Arial"/>
          <w:sz w:val="24"/>
          <w:szCs w:val="24"/>
          <w:lang w:val="en-US"/>
        </w:rPr>
        <w:t xml:space="preserve">The </w:t>
      </w:r>
      <w:r w:rsidRPr="004F3DC1">
        <w:rPr>
          <w:rFonts w:ascii="Arial" w:hAnsi="Arial" w:cs="Arial"/>
          <w:sz w:val="24"/>
          <w:szCs w:val="24"/>
          <w:lang w:val="en-US"/>
        </w:rPr>
        <w:t>gross salary of 35% of civil servants is less than 2,000 euros</w:t>
      </w:r>
      <w:r w:rsidR="00F81D17">
        <w:rPr>
          <w:rFonts w:ascii="Arial" w:hAnsi="Arial" w:cs="Arial"/>
          <w:sz w:val="24"/>
          <w:szCs w:val="24"/>
          <w:lang w:val="en-US"/>
        </w:rPr>
        <w:t xml:space="preserve"> and</w:t>
      </w:r>
      <w:r w:rsidRPr="004F3DC1">
        <w:rPr>
          <w:rFonts w:ascii="Arial" w:hAnsi="Arial" w:cs="Arial"/>
          <w:sz w:val="24"/>
          <w:szCs w:val="24"/>
          <w:lang w:val="en-US"/>
        </w:rPr>
        <w:t xml:space="preserve"> </w:t>
      </w:r>
      <w:r w:rsidR="00F81D17">
        <w:rPr>
          <w:rFonts w:ascii="Arial" w:hAnsi="Arial" w:cs="Arial"/>
          <w:sz w:val="24"/>
          <w:szCs w:val="24"/>
          <w:lang w:val="en-US"/>
        </w:rPr>
        <w:t xml:space="preserve">the gross salary of </w:t>
      </w:r>
      <w:r w:rsidRPr="004F3DC1">
        <w:rPr>
          <w:rFonts w:ascii="Arial" w:hAnsi="Arial" w:cs="Arial"/>
          <w:sz w:val="24"/>
          <w:szCs w:val="24"/>
          <w:lang w:val="en-US"/>
        </w:rPr>
        <w:t>65%</w:t>
      </w:r>
      <w:r w:rsidR="00F81D17">
        <w:rPr>
          <w:rFonts w:ascii="Arial" w:hAnsi="Arial" w:cs="Arial"/>
          <w:sz w:val="24"/>
          <w:szCs w:val="24"/>
          <w:lang w:val="en-US"/>
        </w:rPr>
        <w:t xml:space="preserve"> of civil servants is</w:t>
      </w:r>
      <w:r w:rsidRPr="004F3DC1">
        <w:rPr>
          <w:rFonts w:ascii="Arial" w:hAnsi="Arial" w:cs="Arial"/>
          <w:sz w:val="24"/>
          <w:szCs w:val="24"/>
          <w:lang w:val="en-US"/>
        </w:rPr>
        <w:t xml:space="preserve"> less than 2,500 euros. </w:t>
      </w:r>
      <w:r w:rsidR="00F81D17">
        <w:rPr>
          <w:rFonts w:ascii="Arial" w:hAnsi="Arial" w:cs="Arial"/>
          <w:sz w:val="24"/>
          <w:szCs w:val="24"/>
          <w:lang w:val="en-US"/>
        </w:rPr>
        <w:t xml:space="preserve">Around </w:t>
      </w:r>
      <w:r w:rsidRPr="004F3DC1">
        <w:rPr>
          <w:rFonts w:ascii="Arial" w:hAnsi="Arial" w:cs="Arial"/>
          <w:sz w:val="24"/>
          <w:szCs w:val="24"/>
          <w:lang w:val="en-US"/>
        </w:rPr>
        <w:t>6% of civil servants receive a high salary of over 4,000 euros.</w:t>
      </w:r>
      <w:r w:rsidR="00021062">
        <w:rPr>
          <w:rStyle w:val="Allmrkuseviide"/>
          <w:rFonts w:ascii="Arial" w:hAnsi="Arial" w:cs="Arial"/>
          <w:sz w:val="24"/>
          <w:szCs w:val="24"/>
          <w:lang w:val="en-US"/>
        </w:rPr>
        <w:footnoteReference w:id="3"/>
      </w:r>
    </w:p>
    <w:p w14:paraId="625D78ED" w14:textId="005DD4BB" w:rsidR="00B22242" w:rsidRPr="00E33E20" w:rsidRDefault="00F23398"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 </w:t>
      </w:r>
    </w:p>
    <w:p w14:paraId="37865842" w14:textId="334B40FC" w:rsidR="00C84888" w:rsidRPr="00E33E20" w:rsidRDefault="00C84888" w:rsidP="009174FD">
      <w:pPr>
        <w:pStyle w:val="Kehatekst"/>
        <w:ind w:left="419" w:right="174" w:firstLine="276"/>
        <w:jc w:val="both"/>
        <w:rPr>
          <w:i/>
          <w:iCs/>
          <w:sz w:val="24"/>
          <w:szCs w:val="24"/>
        </w:rPr>
      </w:pPr>
      <w:r w:rsidRPr="00E33E20">
        <w:rPr>
          <w:i/>
          <w:iCs/>
          <w:sz w:val="24"/>
          <w:szCs w:val="24"/>
        </w:rPr>
        <w:t>Table: Basic salary before taxes</w:t>
      </w:r>
      <w:r w:rsidR="00250ECE" w:rsidRPr="00E33E20">
        <w:rPr>
          <w:i/>
          <w:iCs/>
          <w:sz w:val="24"/>
          <w:szCs w:val="24"/>
        </w:rPr>
        <w:t>, EUR, 2024</w:t>
      </w:r>
      <w:r w:rsidRPr="00E33E20">
        <w:rPr>
          <w:i/>
          <w:iCs/>
          <w:sz w:val="24"/>
          <w:szCs w:val="24"/>
        </w:rPr>
        <w:t>, Ministry of Finance Estonia</w:t>
      </w:r>
    </w:p>
    <w:p w14:paraId="1285BD98" w14:textId="77777777" w:rsidR="00AD2ABD" w:rsidRPr="00E33E20" w:rsidRDefault="00AD2ABD" w:rsidP="009174FD">
      <w:pPr>
        <w:autoSpaceDE w:val="0"/>
        <w:autoSpaceDN w:val="0"/>
        <w:adjustRightInd w:val="0"/>
        <w:spacing w:after="0" w:line="240" w:lineRule="auto"/>
        <w:jc w:val="both"/>
        <w:rPr>
          <w:rFonts w:ascii="Arial" w:hAnsi="Arial" w:cs="Arial"/>
          <w:sz w:val="24"/>
          <w:szCs w:val="24"/>
          <w:lang w:val="en-US"/>
        </w:rPr>
      </w:pPr>
    </w:p>
    <w:tbl>
      <w:tblPr>
        <w:tblStyle w:val="Helekontuurtabel"/>
        <w:tblW w:w="0" w:type="auto"/>
        <w:jc w:val="center"/>
        <w:tblLook w:val="04A0" w:firstRow="1" w:lastRow="0" w:firstColumn="1" w:lastColumn="0" w:noHBand="0" w:noVBand="1"/>
      </w:tblPr>
      <w:tblGrid>
        <w:gridCol w:w="1353"/>
        <w:gridCol w:w="1644"/>
        <w:gridCol w:w="1910"/>
        <w:gridCol w:w="1442"/>
        <w:gridCol w:w="1490"/>
        <w:gridCol w:w="1223"/>
      </w:tblGrid>
      <w:tr w:rsidR="00FB2568" w:rsidRPr="00E33E20" w14:paraId="1A928586" w14:textId="77777777" w:rsidTr="00FB2568">
        <w:trPr>
          <w:jc w:val="center"/>
        </w:trPr>
        <w:tc>
          <w:tcPr>
            <w:tcW w:w="1510" w:type="dxa"/>
          </w:tcPr>
          <w:p w14:paraId="58001EA0" w14:textId="77777777" w:rsidR="001D43AF" w:rsidRPr="00E33E20" w:rsidRDefault="001D43AF" w:rsidP="009174FD">
            <w:pPr>
              <w:autoSpaceDE w:val="0"/>
              <w:autoSpaceDN w:val="0"/>
              <w:adjustRightInd w:val="0"/>
              <w:jc w:val="both"/>
              <w:rPr>
                <w:rFonts w:ascii="Arial" w:hAnsi="Arial" w:cs="Arial"/>
                <w:sz w:val="24"/>
                <w:szCs w:val="24"/>
                <w:lang w:val="en-US"/>
              </w:rPr>
            </w:pPr>
          </w:p>
        </w:tc>
        <w:tc>
          <w:tcPr>
            <w:tcW w:w="1510" w:type="dxa"/>
          </w:tcPr>
          <w:p w14:paraId="17A3BBB1" w14:textId="2949CB5F" w:rsidR="001D43AF" w:rsidRPr="00E33E20" w:rsidRDefault="001D43AF" w:rsidP="009174FD">
            <w:pPr>
              <w:autoSpaceDE w:val="0"/>
              <w:autoSpaceDN w:val="0"/>
              <w:adjustRightInd w:val="0"/>
              <w:jc w:val="both"/>
              <w:rPr>
                <w:rFonts w:ascii="Arial" w:hAnsi="Arial" w:cs="Arial"/>
                <w:b/>
                <w:bCs/>
                <w:sz w:val="24"/>
                <w:szCs w:val="24"/>
                <w:lang w:val="en-US"/>
              </w:rPr>
            </w:pPr>
            <w:r w:rsidRPr="00E33E20">
              <w:rPr>
                <w:rFonts w:ascii="Arial" w:hAnsi="Arial" w:cs="Arial"/>
                <w:b/>
                <w:bCs/>
                <w:sz w:val="24"/>
                <w:szCs w:val="24"/>
                <w:lang w:val="en-US"/>
              </w:rPr>
              <w:t>Labour Insp</w:t>
            </w:r>
            <w:r w:rsidR="00DC7EA9" w:rsidRPr="00E33E20">
              <w:rPr>
                <w:rFonts w:ascii="Arial" w:hAnsi="Arial" w:cs="Arial"/>
                <w:b/>
                <w:bCs/>
                <w:sz w:val="24"/>
                <w:szCs w:val="24"/>
                <w:lang w:val="en-US"/>
              </w:rPr>
              <w:t>ectorate</w:t>
            </w:r>
          </w:p>
        </w:tc>
        <w:tc>
          <w:tcPr>
            <w:tcW w:w="1510" w:type="dxa"/>
          </w:tcPr>
          <w:p w14:paraId="7F64276D" w14:textId="286F0E7F" w:rsidR="001D43AF" w:rsidRPr="00E33E20" w:rsidRDefault="00997506" w:rsidP="009174FD">
            <w:pPr>
              <w:autoSpaceDE w:val="0"/>
              <w:autoSpaceDN w:val="0"/>
              <w:adjustRightInd w:val="0"/>
              <w:jc w:val="both"/>
              <w:rPr>
                <w:rFonts w:ascii="Arial" w:hAnsi="Arial" w:cs="Arial"/>
                <w:b/>
                <w:bCs/>
                <w:sz w:val="24"/>
                <w:szCs w:val="24"/>
                <w:lang w:val="en-US"/>
              </w:rPr>
            </w:pPr>
            <w:r w:rsidRPr="00E33E20">
              <w:rPr>
                <w:rFonts w:ascii="Arial" w:hAnsi="Arial" w:cs="Arial"/>
                <w:b/>
                <w:bCs/>
                <w:sz w:val="24"/>
                <w:szCs w:val="24"/>
                <w:lang w:val="en-US"/>
              </w:rPr>
              <w:t>Transport Administration</w:t>
            </w:r>
          </w:p>
        </w:tc>
        <w:tc>
          <w:tcPr>
            <w:tcW w:w="1510" w:type="dxa"/>
          </w:tcPr>
          <w:p w14:paraId="40496E4B" w14:textId="26F5AFEC" w:rsidR="001D43AF" w:rsidRPr="00E33E20" w:rsidRDefault="00773878" w:rsidP="009174FD">
            <w:pPr>
              <w:autoSpaceDE w:val="0"/>
              <w:autoSpaceDN w:val="0"/>
              <w:adjustRightInd w:val="0"/>
              <w:jc w:val="both"/>
              <w:rPr>
                <w:rFonts w:ascii="Arial" w:hAnsi="Arial" w:cs="Arial"/>
                <w:b/>
                <w:bCs/>
                <w:sz w:val="24"/>
                <w:szCs w:val="24"/>
                <w:lang w:val="en-US"/>
              </w:rPr>
            </w:pPr>
            <w:r w:rsidRPr="00E33E20">
              <w:rPr>
                <w:rFonts w:ascii="Arial" w:hAnsi="Arial" w:cs="Arial"/>
                <w:b/>
                <w:bCs/>
                <w:sz w:val="24"/>
                <w:szCs w:val="24"/>
                <w:lang w:val="en-US"/>
              </w:rPr>
              <w:t>Agency of Medicines</w:t>
            </w:r>
          </w:p>
        </w:tc>
        <w:tc>
          <w:tcPr>
            <w:tcW w:w="1511" w:type="dxa"/>
          </w:tcPr>
          <w:p w14:paraId="5C190A16" w14:textId="0435CDD5" w:rsidR="001D43AF" w:rsidRPr="00E33E20" w:rsidRDefault="00773878" w:rsidP="009174FD">
            <w:pPr>
              <w:autoSpaceDE w:val="0"/>
              <w:autoSpaceDN w:val="0"/>
              <w:adjustRightInd w:val="0"/>
              <w:jc w:val="both"/>
              <w:rPr>
                <w:rFonts w:ascii="Arial" w:hAnsi="Arial" w:cs="Arial"/>
                <w:b/>
                <w:bCs/>
                <w:sz w:val="24"/>
                <w:szCs w:val="24"/>
                <w:lang w:val="en-US"/>
              </w:rPr>
            </w:pPr>
            <w:r w:rsidRPr="00E33E20">
              <w:rPr>
                <w:rFonts w:ascii="Arial" w:hAnsi="Arial" w:cs="Arial"/>
                <w:b/>
                <w:bCs/>
                <w:sz w:val="24"/>
                <w:szCs w:val="24"/>
                <w:lang w:val="en-US"/>
              </w:rPr>
              <w:t>Consumer Protection and Technical Regulatory Authority</w:t>
            </w:r>
          </w:p>
        </w:tc>
        <w:tc>
          <w:tcPr>
            <w:tcW w:w="1511" w:type="dxa"/>
          </w:tcPr>
          <w:p w14:paraId="0432B109" w14:textId="0D5C2D64" w:rsidR="001D43AF" w:rsidRPr="00E33E20" w:rsidRDefault="004C101C" w:rsidP="009174FD">
            <w:pPr>
              <w:autoSpaceDE w:val="0"/>
              <w:autoSpaceDN w:val="0"/>
              <w:adjustRightInd w:val="0"/>
              <w:jc w:val="both"/>
              <w:rPr>
                <w:rFonts w:ascii="Arial" w:hAnsi="Arial" w:cs="Arial"/>
                <w:b/>
                <w:bCs/>
                <w:sz w:val="24"/>
                <w:szCs w:val="24"/>
                <w:lang w:val="en-US"/>
              </w:rPr>
            </w:pPr>
            <w:r w:rsidRPr="00E33E20">
              <w:rPr>
                <w:rFonts w:ascii="Arial" w:hAnsi="Arial" w:cs="Arial"/>
                <w:b/>
                <w:bCs/>
                <w:sz w:val="24"/>
                <w:szCs w:val="24"/>
                <w:lang w:val="en-US"/>
              </w:rPr>
              <w:t>Health Board</w:t>
            </w:r>
          </w:p>
          <w:p w14:paraId="47A4DBD6" w14:textId="77777777" w:rsidR="004C101C" w:rsidRPr="00E33E20" w:rsidRDefault="004C101C" w:rsidP="009174FD">
            <w:pPr>
              <w:jc w:val="both"/>
              <w:rPr>
                <w:rFonts w:ascii="Arial" w:hAnsi="Arial" w:cs="Arial"/>
                <w:b/>
                <w:bCs/>
                <w:sz w:val="24"/>
                <w:szCs w:val="24"/>
                <w:lang w:val="en-US"/>
              </w:rPr>
            </w:pPr>
          </w:p>
        </w:tc>
      </w:tr>
      <w:tr w:rsidR="006B1FBE" w:rsidRPr="00E33E20" w14:paraId="26BD03CD" w14:textId="77777777" w:rsidTr="00FB2568">
        <w:trPr>
          <w:jc w:val="center"/>
        </w:trPr>
        <w:tc>
          <w:tcPr>
            <w:tcW w:w="1510" w:type="dxa"/>
          </w:tcPr>
          <w:p w14:paraId="021924EC" w14:textId="026C8BF9" w:rsidR="001D43AF" w:rsidRPr="00E33E20" w:rsidRDefault="001D43AF" w:rsidP="009174FD">
            <w:pPr>
              <w:autoSpaceDE w:val="0"/>
              <w:autoSpaceDN w:val="0"/>
              <w:adjustRightInd w:val="0"/>
              <w:jc w:val="both"/>
              <w:rPr>
                <w:rFonts w:ascii="Arial" w:hAnsi="Arial" w:cs="Arial"/>
                <w:sz w:val="24"/>
                <w:szCs w:val="24"/>
                <w:lang w:val="en-US"/>
              </w:rPr>
            </w:pPr>
            <w:r w:rsidRPr="00E33E20">
              <w:rPr>
                <w:rFonts w:ascii="Arial" w:hAnsi="Arial" w:cs="Arial"/>
                <w:sz w:val="24"/>
                <w:szCs w:val="24"/>
                <w:lang w:val="en-US"/>
              </w:rPr>
              <w:t>Inspector</w:t>
            </w:r>
          </w:p>
        </w:tc>
        <w:tc>
          <w:tcPr>
            <w:tcW w:w="1510" w:type="dxa"/>
          </w:tcPr>
          <w:p w14:paraId="19AA30E7" w14:textId="147C9690" w:rsidR="001D43AF" w:rsidRPr="00E33E20" w:rsidRDefault="004C101C" w:rsidP="004F3DC1">
            <w:pPr>
              <w:autoSpaceDE w:val="0"/>
              <w:autoSpaceDN w:val="0"/>
              <w:adjustRightInd w:val="0"/>
              <w:rPr>
                <w:rFonts w:ascii="Arial" w:hAnsi="Arial" w:cs="Arial"/>
                <w:sz w:val="24"/>
                <w:szCs w:val="24"/>
                <w:lang w:val="en-US"/>
              </w:rPr>
            </w:pPr>
            <w:r w:rsidRPr="00E33E20">
              <w:rPr>
                <w:rFonts w:ascii="Arial" w:hAnsi="Arial" w:cs="Arial"/>
                <w:sz w:val="24"/>
                <w:szCs w:val="24"/>
                <w:lang w:val="en-US"/>
              </w:rPr>
              <w:t>2100</w:t>
            </w:r>
          </w:p>
        </w:tc>
        <w:tc>
          <w:tcPr>
            <w:tcW w:w="1510" w:type="dxa"/>
          </w:tcPr>
          <w:p w14:paraId="3122C61E" w14:textId="31BC9B73" w:rsidR="001D43AF" w:rsidRPr="00E33E20" w:rsidRDefault="004C101C" w:rsidP="004F3DC1">
            <w:pPr>
              <w:autoSpaceDE w:val="0"/>
              <w:autoSpaceDN w:val="0"/>
              <w:adjustRightInd w:val="0"/>
              <w:rPr>
                <w:rFonts w:ascii="Arial" w:hAnsi="Arial" w:cs="Arial"/>
                <w:sz w:val="24"/>
                <w:szCs w:val="24"/>
                <w:lang w:val="en-US"/>
              </w:rPr>
            </w:pPr>
            <w:r w:rsidRPr="00E33E20">
              <w:rPr>
                <w:rFonts w:ascii="Arial" w:hAnsi="Arial" w:cs="Arial"/>
                <w:sz w:val="24"/>
                <w:szCs w:val="24"/>
                <w:lang w:val="en-US"/>
              </w:rPr>
              <w:t>2500</w:t>
            </w:r>
          </w:p>
        </w:tc>
        <w:tc>
          <w:tcPr>
            <w:tcW w:w="1510" w:type="dxa"/>
          </w:tcPr>
          <w:p w14:paraId="1E174039" w14:textId="67B096E3" w:rsidR="001D43AF" w:rsidRPr="00E33E20" w:rsidRDefault="00CF4085" w:rsidP="004F3DC1">
            <w:pPr>
              <w:autoSpaceDE w:val="0"/>
              <w:autoSpaceDN w:val="0"/>
              <w:adjustRightInd w:val="0"/>
              <w:rPr>
                <w:rFonts w:ascii="Arial" w:hAnsi="Arial" w:cs="Arial"/>
                <w:sz w:val="24"/>
                <w:szCs w:val="24"/>
                <w:lang w:val="en-US"/>
              </w:rPr>
            </w:pPr>
            <w:r w:rsidRPr="00E33E20">
              <w:rPr>
                <w:rFonts w:ascii="Arial" w:hAnsi="Arial" w:cs="Arial"/>
                <w:sz w:val="24"/>
                <w:szCs w:val="24"/>
                <w:lang w:val="en-US"/>
              </w:rPr>
              <w:t>2550 - 2900</w:t>
            </w:r>
          </w:p>
        </w:tc>
        <w:tc>
          <w:tcPr>
            <w:tcW w:w="1511" w:type="dxa"/>
          </w:tcPr>
          <w:p w14:paraId="7D077D94" w14:textId="11A25C74" w:rsidR="001D43AF" w:rsidRPr="00E33E20" w:rsidRDefault="00CF4085" w:rsidP="004F3DC1">
            <w:pPr>
              <w:autoSpaceDE w:val="0"/>
              <w:autoSpaceDN w:val="0"/>
              <w:adjustRightInd w:val="0"/>
              <w:rPr>
                <w:rFonts w:ascii="Arial" w:hAnsi="Arial" w:cs="Arial"/>
                <w:sz w:val="24"/>
                <w:szCs w:val="24"/>
                <w:lang w:val="en-US"/>
              </w:rPr>
            </w:pPr>
            <w:r w:rsidRPr="00E33E20">
              <w:rPr>
                <w:rFonts w:ascii="Arial" w:hAnsi="Arial" w:cs="Arial"/>
                <w:sz w:val="24"/>
                <w:szCs w:val="24"/>
                <w:lang w:val="en-US"/>
              </w:rPr>
              <w:t>2450 - 2800</w:t>
            </w:r>
          </w:p>
        </w:tc>
        <w:tc>
          <w:tcPr>
            <w:tcW w:w="1511" w:type="dxa"/>
          </w:tcPr>
          <w:p w14:paraId="2369A3C8" w14:textId="379D28BD" w:rsidR="001D43AF" w:rsidRPr="00E33E20" w:rsidRDefault="00CF4085" w:rsidP="004F3DC1">
            <w:pPr>
              <w:autoSpaceDE w:val="0"/>
              <w:autoSpaceDN w:val="0"/>
              <w:adjustRightInd w:val="0"/>
              <w:rPr>
                <w:rFonts w:ascii="Arial" w:hAnsi="Arial" w:cs="Arial"/>
                <w:sz w:val="24"/>
                <w:szCs w:val="24"/>
                <w:lang w:val="en-US"/>
              </w:rPr>
            </w:pPr>
            <w:r w:rsidRPr="00E33E20">
              <w:rPr>
                <w:rFonts w:ascii="Arial" w:hAnsi="Arial" w:cs="Arial"/>
                <w:sz w:val="24"/>
                <w:szCs w:val="24"/>
                <w:lang w:val="en-US"/>
              </w:rPr>
              <w:t>1850 - 1950</w:t>
            </w:r>
          </w:p>
        </w:tc>
      </w:tr>
      <w:tr w:rsidR="00FB2568" w:rsidRPr="00E33E20" w14:paraId="2B38CFAB" w14:textId="77777777" w:rsidTr="00FB2568">
        <w:trPr>
          <w:jc w:val="center"/>
        </w:trPr>
        <w:tc>
          <w:tcPr>
            <w:tcW w:w="1510" w:type="dxa"/>
          </w:tcPr>
          <w:p w14:paraId="3C47A8A3" w14:textId="74D81177" w:rsidR="001D43AF" w:rsidRPr="00E33E20" w:rsidRDefault="00BB2344" w:rsidP="009174FD">
            <w:pPr>
              <w:autoSpaceDE w:val="0"/>
              <w:autoSpaceDN w:val="0"/>
              <w:adjustRightInd w:val="0"/>
              <w:jc w:val="both"/>
              <w:rPr>
                <w:rFonts w:ascii="Arial" w:hAnsi="Arial" w:cs="Arial"/>
                <w:sz w:val="24"/>
                <w:szCs w:val="24"/>
                <w:lang w:val="en-US"/>
              </w:rPr>
            </w:pPr>
            <w:r w:rsidRPr="00E33E20">
              <w:rPr>
                <w:rFonts w:ascii="Arial" w:hAnsi="Arial" w:cs="Arial"/>
                <w:sz w:val="24"/>
                <w:szCs w:val="24"/>
                <w:lang w:val="en-US"/>
              </w:rPr>
              <w:t xml:space="preserve">Senior </w:t>
            </w:r>
            <w:r w:rsidR="001D43AF" w:rsidRPr="00E33E20">
              <w:rPr>
                <w:rFonts w:ascii="Arial" w:hAnsi="Arial" w:cs="Arial"/>
                <w:sz w:val="24"/>
                <w:szCs w:val="24"/>
                <w:lang w:val="en-US"/>
              </w:rPr>
              <w:t>inspector</w:t>
            </w:r>
          </w:p>
        </w:tc>
        <w:tc>
          <w:tcPr>
            <w:tcW w:w="1510" w:type="dxa"/>
          </w:tcPr>
          <w:p w14:paraId="241D54E6" w14:textId="1D6EE3B8" w:rsidR="001D43AF" w:rsidRPr="00E33E20" w:rsidRDefault="004C101C" w:rsidP="004F3DC1">
            <w:pPr>
              <w:autoSpaceDE w:val="0"/>
              <w:autoSpaceDN w:val="0"/>
              <w:adjustRightInd w:val="0"/>
              <w:rPr>
                <w:rFonts w:ascii="Arial" w:hAnsi="Arial" w:cs="Arial"/>
                <w:sz w:val="24"/>
                <w:szCs w:val="24"/>
                <w:lang w:val="en-US"/>
              </w:rPr>
            </w:pPr>
            <w:r w:rsidRPr="00E33E20">
              <w:rPr>
                <w:rFonts w:ascii="Arial" w:hAnsi="Arial" w:cs="Arial"/>
                <w:sz w:val="24"/>
                <w:szCs w:val="24"/>
                <w:lang w:val="en-US"/>
              </w:rPr>
              <w:t>2420</w:t>
            </w:r>
          </w:p>
        </w:tc>
        <w:tc>
          <w:tcPr>
            <w:tcW w:w="1510" w:type="dxa"/>
          </w:tcPr>
          <w:p w14:paraId="144ED3AC" w14:textId="35B2DDE9" w:rsidR="001D43AF" w:rsidRPr="00E33E20" w:rsidRDefault="004C101C" w:rsidP="004F3DC1">
            <w:pPr>
              <w:autoSpaceDE w:val="0"/>
              <w:autoSpaceDN w:val="0"/>
              <w:adjustRightInd w:val="0"/>
              <w:rPr>
                <w:rFonts w:ascii="Arial" w:hAnsi="Arial" w:cs="Arial"/>
                <w:sz w:val="24"/>
                <w:szCs w:val="24"/>
                <w:lang w:val="en-US"/>
              </w:rPr>
            </w:pPr>
            <w:r w:rsidRPr="00E33E20">
              <w:rPr>
                <w:rFonts w:ascii="Arial" w:hAnsi="Arial" w:cs="Arial"/>
                <w:sz w:val="24"/>
                <w:szCs w:val="24"/>
                <w:lang w:val="en-US"/>
              </w:rPr>
              <w:t>2330</w:t>
            </w:r>
            <w:r w:rsidR="00CF4085" w:rsidRPr="00E33E20">
              <w:rPr>
                <w:rFonts w:ascii="Arial" w:hAnsi="Arial" w:cs="Arial"/>
                <w:sz w:val="24"/>
                <w:szCs w:val="24"/>
                <w:lang w:val="en-US"/>
              </w:rPr>
              <w:t xml:space="preserve"> - 3750</w:t>
            </w:r>
          </w:p>
        </w:tc>
        <w:tc>
          <w:tcPr>
            <w:tcW w:w="1510" w:type="dxa"/>
          </w:tcPr>
          <w:p w14:paraId="2F1B3857" w14:textId="77777777" w:rsidR="001D43AF" w:rsidRPr="00E33E20" w:rsidRDefault="001D43AF" w:rsidP="004F3DC1">
            <w:pPr>
              <w:autoSpaceDE w:val="0"/>
              <w:autoSpaceDN w:val="0"/>
              <w:adjustRightInd w:val="0"/>
              <w:rPr>
                <w:rFonts w:ascii="Arial" w:hAnsi="Arial" w:cs="Arial"/>
                <w:sz w:val="24"/>
                <w:szCs w:val="24"/>
                <w:lang w:val="en-US"/>
              </w:rPr>
            </w:pPr>
          </w:p>
        </w:tc>
        <w:tc>
          <w:tcPr>
            <w:tcW w:w="1511" w:type="dxa"/>
          </w:tcPr>
          <w:p w14:paraId="424D26B1" w14:textId="77777777" w:rsidR="001D43AF" w:rsidRPr="00E33E20" w:rsidRDefault="001D43AF" w:rsidP="004F3DC1">
            <w:pPr>
              <w:autoSpaceDE w:val="0"/>
              <w:autoSpaceDN w:val="0"/>
              <w:adjustRightInd w:val="0"/>
              <w:rPr>
                <w:rFonts w:ascii="Arial" w:hAnsi="Arial" w:cs="Arial"/>
                <w:sz w:val="24"/>
                <w:szCs w:val="24"/>
                <w:lang w:val="en-US"/>
              </w:rPr>
            </w:pPr>
          </w:p>
        </w:tc>
        <w:tc>
          <w:tcPr>
            <w:tcW w:w="1511" w:type="dxa"/>
          </w:tcPr>
          <w:p w14:paraId="24D219E9" w14:textId="754B7DC3" w:rsidR="001D43AF" w:rsidRPr="00E33E20" w:rsidRDefault="00CF4085" w:rsidP="004F3DC1">
            <w:pPr>
              <w:autoSpaceDE w:val="0"/>
              <w:autoSpaceDN w:val="0"/>
              <w:adjustRightInd w:val="0"/>
              <w:rPr>
                <w:rFonts w:ascii="Arial" w:hAnsi="Arial" w:cs="Arial"/>
                <w:sz w:val="24"/>
                <w:szCs w:val="24"/>
                <w:lang w:val="en-US"/>
              </w:rPr>
            </w:pPr>
            <w:r w:rsidRPr="00E33E20">
              <w:rPr>
                <w:rFonts w:ascii="Arial" w:hAnsi="Arial" w:cs="Arial"/>
                <w:sz w:val="24"/>
                <w:szCs w:val="24"/>
                <w:lang w:val="en-US"/>
              </w:rPr>
              <w:t>1950 - 2200</w:t>
            </w:r>
          </w:p>
        </w:tc>
      </w:tr>
      <w:tr w:rsidR="006B1FBE" w:rsidRPr="00E33E20" w14:paraId="1347659E" w14:textId="77777777" w:rsidTr="00FB2568">
        <w:trPr>
          <w:jc w:val="center"/>
        </w:trPr>
        <w:tc>
          <w:tcPr>
            <w:tcW w:w="1510" w:type="dxa"/>
          </w:tcPr>
          <w:p w14:paraId="3D83ACA9" w14:textId="68367896" w:rsidR="001D43AF" w:rsidRPr="00E33E20" w:rsidRDefault="001D43AF" w:rsidP="009174FD">
            <w:pPr>
              <w:autoSpaceDE w:val="0"/>
              <w:autoSpaceDN w:val="0"/>
              <w:adjustRightInd w:val="0"/>
              <w:jc w:val="both"/>
              <w:rPr>
                <w:rFonts w:ascii="Arial" w:hAnsi="Arial" w:cs="Arial"/>
                <w:sz w:val="24"/>
                <w:szCs w:val="24"/>
                <w:lang w:val="en-US"/>
              </w:rPr>
            </w:pPr>
            <w:r w:rsidRPr="00E33E20">
              <w:rPr>
                <w:rFonts w:ascii="Arial" w:hAnsi="Arial" w:cs="Arial"/>
                <w:sz w:val="24"/>
                <w:szCs w:val="24"/>
                <w:lang w:val="en-US"/>
              </w:rPr>
              <w:t>Leading inspector</w:t>
            </w:r>
          </w:p>
        </w:tc>
        <w:tc>
          <w:tcPr>
            <w:tcW w:w="1510" w:type="dxa"/>
          </w:tcPr>
          <w:p w14:paraId="7F83AB8E" w14:textId="580640AC" w:rsidR="001D43AF" w:rsidRPr="00E33E20" w:rsidRDefault="004C101C" w:rsidP="004F3DC1">
            <w:pPr>
              <w:autoSpaceDE w:val="0"/>
              <w:autoSpaceDN w:val="0"/>
              <w:adjustRightInd w:val="0"/>
              <w:rPr>
                <w:rFonts w:ascii="Arial" w:hAnsi="Arial" w:cs="Arial"/>
                <w:sz w:val="24"/>
                <w:szCs w:val="24"/>
                <w:lang w:val="en-US"/>
              </w:rPr>
            </w:pPr>
            <w:r w:rsidRPr="00E33E20">
              <w:rPr>
                <w:rFonts w:ascii="Arial" w:hAnsi="Arial" w:cs="Arial"/>
                <w:sz w:val="24"/>
                <w:szCs w:val="24"/>
                <w:lang w:val="en-US"/>
              </w:rPr>
              <w:t>2800</w:t>
            </w:r>
          </w:p>
        </w:tc>
        <w:tc>
          <w:tcPr>
            <w:tcW w:w="1510" w:type="dxa"/>
          </w:tcPr>
          <w:p w14:paraId="79595075" w14:textId="5E63896A" w:rsidR="001D43AF" w:rsidRPr="00E33E20" w:rsidRDefault="00CF4085" w:rsidP="004F3DC1">
            <w:pPr>
              <w:autoSpaceDE w:val="0"/>
              <w:autoSpaceDN w:val="0"/>
              <w:adjustRightInd w:val="0"/>
              <w:rPr>
                <w:rFonts w:ascii="Arial" w:hAnsi="Arial" w:cs="Arial"/>
                <w:sz w:val="24"/>
                <w:szCs w:val="24"/>
                <w:lang w:val="en-US"/>
              </w:rPr>
            </w:pPr>
            <w:r w:rsidRPr="00E33E20">
              <w:rPr>
                <w:rFonts w:ascii="Arial" w:hAnsi="Arial" w:cs="Arial"/>
                <w:sz w:val="24"/>
                <w:szCs w:val="24"/>
                <w:lang w:val="en-US"/>
              </w:rPr>
              <w:t>2800 - 4425</w:t>
            </w:r>
          </w:p>
        </w:tc>
        <w:tc>
          <w:tcPr>
            <w:tcW w:w="1510" w:type="dxa"/>
          </w:tcPr>
          <w:p w14:paraId="72708BAA" w14:textId="77777777" w:rsidR="001D43AF" w:rsidRPr="00E33E20" w:rsidRDefault="001D43AF" w:rsidP="004F3DC1">
            <w:pPr>
              <w:autoSpaceDE w:val="0"/>
              <w:autoSpaceDN w:val="0"/>
              <w:adjustRightInd w:val="0"/>
              <w:rPr>
                <w:rFonts w:ascii="Arial" w:hAnsi="Arial" w:cs="Arial"/>
                <w:sz w:val="24"/>
                <w:szCs w:val="24"/>
                <w:lang w:val="en-US"/>
              </w:rPr>
            </w:pPr>
          </w:p>
        </w:tc>
        <w:tc>
          <w:tcPr>
            <w:tcW w:w="1511" w:type="dxa"/>
          </w:tcPr>
          <w:p w14:paraId="62AB0000" w14:textId="77777777" w:rsidR="001D43AF" w:rsidRPr="00E33E20" w:rsidRDefault="001D43AF" w:rsidP="004F3DC1">
            <w:pPr>
              <w:autoSpaceDE w:val="0"/>
              <w:autoSpaceDN w:val="0"/>
              <w:adjustRightInd w:val="0"/>
              <w:rPr>
                <w:rFonts w:ascii="Arial" w:hAnsi="Arial" w:cs="Arial"/>
                <w:sz w:val="24"/>
                <w:szCs w:val="24"/>
                <w:lang w:val="en-US"/>
              </w:rPr>
            </w:pPr>
          </w:p>
        </w:tc>
        <w:tc>
          <w:tcPr>
            <w:tcW w:w="1511" w:type="dxa"/>
          </w:tcPr>
          <w:p w14:paraId="552BFAF5" w14:textId="77777777" w:rsidR="001D43AF" w:rsidRPr="00E33E20" w:rsidRDefault="001D43AF" w:rsidP="004F3DC1">
            <w:pPr>
              <w:autoSpaceDE w:val="0"/>
              <w:autoSpaceDN w:val="0"/>
              <w:adjustRightInd w:val="0"/>
              <w:rPr>
                <w:rFonts w:ascii="Arial" w:hAnsi="Arial" w:cs="Arial"/>
                <w:sz w:val="24"/>
                <w:szCs w:val="24"/>
                <w:lang w:val="en-US"/>
              </w:rPr>
            </w:pPr>
          </w:p>
        </w:tc>
      </w:tr>
      <w:tr w:rsidR="00FB2568" w:rsidRPr="00E33E20" w14:paraId="538FEF47" w14:textId="77777777" w:rsidTr="00FB2568">
        <w:trPr>
          <w:jc w:val="center"/>
        </w:trPr>
        <w:tc>
          <w:tcPr>
            <w:tcW w:w="1510" w:type="dxa"/>
          </w:tcPr>
          <w:p w14:paraId="3512255B" w14:textId="0AB6076C" w:rsidR="001D43AF" w:rsidRPr="00E33E20" w:rsidRDefault="001D43AF" w:rsidP="009174FD">
            <w:pPr>
              <w:autoSpaceDE w:val="0"/>
              <w:autoSpaceDN w:val="0"/>
              <w:adjustRightInd w:val="0"/>
              <w:jc w:val="both"/>
              <w:rPr>
                <w:rFonts w:ascii="Arial" w:hAnsi="Arial" w:cs="Arial"/>
                <w:sz w:val="24"/>
                <w:szCs w:val="24"/>
                <w:lang w:val="en-US"/>
              </w:rPr>
            </w:pPr>
            <w:r w:rsidRPr="00E33E20">
              <w:rPr>
                <w:rFonts w:ascii="Arial" w:hAnsi="Arial" w:cs="Arial"/>
                <w:sz w:val="24"/>
                <w:szCs w:val="24"/>
                <w:lang w:val="en-US"/>
              </w:rPr>
              <w:t>Lawyer</w:t>
            </w:r>
          </w:p>
        </w:tc>
        <w:tc>
          <w:tcPr>
            <w:tcW w:w="1510" w:type="dxa"/>
          </w:tcPr>
          <w:p w14:paraId="142FEE6D" w14:textId="29378F78" w:rsidR="001D43AF" w:rsidRPr="00E33E20" w:rsidRDefault="004C101C" w:rsidP="004F3DC1">
            <w:pPr>
              <w:autoSpaceDE w:val="0"/>
              <w:autoSpaceDN w:val="0"/>
              <w:adjustRightInd w:val="0"/>
              <w:rPr>
                <w:rFonts w:ascii="Arial" w:hAnsi="Arial" w:cs="Arial"/>
                <w:sz w:val="24"/>
                <w:szCs w:val="24"/>
                <w:lang w:val="en-US"/>
              </w:rPr>
            </w:pPr>
            <w:r w:rsidRPr="00E33E20">
              <w:rPr>
                <w:rFonts w:ascii="Arial" w:hAnsi="Arial" w:cs="Arial"/>
                <w:sz w:val="24"/>
                <w:szCs w:val="24"/>
                <w:lang w:val="en-US"/>
              </w:rPr>
              <w:t>2100</w:t>
            </w:r>
          </w:p>
        </w:tc>
        <w:tc>
          <w:tcPr>
            <w:tcW w:w="1510" w:type="dxa"/>
          </w:tcPr>
          <w:p w14:paraId="0DDA8153" w14:textId="77777777" w:rsidR="001D43AF" w:rsidRPr="00E33E20" w:rsidRDefault="001D43AF" w:rsidP="004F3DC1">
            <w:pPr>
              <w:autoSpaceDE w:val="0"/>
              <w:autoSpaceDN w:val="0"/>
              <w:adjustRightInd w:val="0"/>
              <w:rPr>
                <w:rFonts w:ascii="Arial" w:hAnsi="Arial" w:cs="Arial"/>
                <w:sz w:val="24"/>
                <w:szCs w:val="24"/>
                <w:lang w:val="en-US"/>
              </w:rPr>
            </w:pPr>
          </w:p>
        </w:tc>
        <w:tc>
          <w:tcPr>
            <w:tcW w:w="1510" w:type="dxa"/>
          </w:tcPr>
          <w:p w14:paraId="12A009B3" w14:textId="77777777" w:rsidR="001D43AF" w:rsidRPr="00E33E20" w:rsidRDefault="001D43AF" w:rsidP="004F3DC1">
            <w:pPr>
              <w:autoSpaceDE w:val="0"/>
              <w:autoSpaceDN w:val="0"/>
              <w:adjustRightInd w:val="0"/>
              <w:rPr>
                <w:rFonts w:ascii="Arial" w:hAnsi="Arial" w:cs="Arial"/>
                <w:sz w:val="24"/>
                <w:szCs w:val="24"/>
                <w:lang w:val="en-US"/>
              </w:rPr>
            </w:pPr>
          </w:p>
        </w:tc>
        <w:tc>
          <w:tcPr>
            <w:tcW w:w="1511" w:type="dxa"/>
          </w:tcPr>
          <w:p w14:paraId="20A0C284" w14:textId="47FD24F5" w:rsidR="001D43AF" w:rsidRPr="00E33E20" w:rsidRDefault="00CF4085" w:rsidP="004F3DC1">
            <w:pPr>
              <w:autoSpaceDE w:val="0"/>
              <w:autoSpaceDN w:val="0"/>
              <w:adjustRightInd w:val="0"/>
              <w:rPr>
                <w:rFonts w:ascii="Arial" w:hAnsi="Arial" w:cs="Arial"/>
                <w:sz w:val="24"/>
                <w:szCs w:val="24"/>
                <w:lang w:val="en-US"/>
              </w:rPr>
            </w:pPr>
            <w:r w:rsidRPr="00E33E20">
              <w:rPr>
                <w:rFonts w:ascii="Arial" w:hAnsi="Arial" w:cs="Arial"/>
                <w:sz w:val="24"/>
                <w:szCs w:val="24"/>
                <w:lang w:val="en-US"/>
              </w:rPr>
              <w:t>2200 - 2400</w:t>
            </w:r>
          </w:p>
        </w:tc>
        <w:tc>
          <w:tcPr>
            <w:tcW w:w="1511" w:type="dxa"/>
          </w:tcPr>
          <w:p w14:paraId="5252F50E" w14:textId="268F342F" w:rsidR="001D43AF" w:rsidRPr="00E33E20" w:rsidRDefault="00CF4085" w:rsidP="004F3DC1">
            <w:pPr>
              <w:autoSpaceDE w:val="0"/>
              <w:autoSpaceDN w:val="0"/>
              <w:adjustRightInd w:val="0"/>
              <w:rPr>
                <w:rFonts w:ascii="Arial" w:hAnsi="Arial" w:cs="Arial"/>
                <w:sz w:val="24"/>
                <w:szCs w:val="24"/>
                <w:lang w:val="en-US"/>
              </w:rPr>
            </w:pPr>
            <w:r w:rsidRPr="00E33E20">
              <w:rPr>
                <w:rFonts w:ascii="Arial" w:hAnsi="Arial" w:cs="Arial"/>
                <w:sz w:val="24"/>
                <w:szCs w:val="24"/>
                <w:lang w:val="en-US"/>
              </w:rPr>
              <w:t>3000 - 3100</w:t>
            </w:r>
          </w:p>
        </w:tc>
      </w:tr>
      <w:tr w:rsidR="006B1FBE" w:rsidRPr="00E33E20" w14:paraId="5EB9719D" w14:textId="77777777" w:rsidTr="00FB2568">
        <w:trPr>
          <w:jc w:val="center"/>
        </w:trPr>
        <w:tc>
          <w:tcPr>
            <w:tcW w:w="1510" w:type="dxa"/>
          </w:tcPr>
          <w:p w14:paraId="53DB64C9" w14:textId="138737AB" w:rsidR="001D43AF" w:rsidRPr="00E33E20" w:rsidRDefault="00997506" w:rsidP="009174FD">
            <w:pPr>
              <w:autoSpaceDE w:val="0"/>
              <w:autoSpaceDN w:val="0"/>
              <w:adjustRightInd w:val="0"/>
              <w:jc w:val="both"/>
              <w:rPr>
                <w:rFonts w:ascii="Arial" w:hAnsi="Arial" w:cs="Arial"/>
                <w:sz w:val="24"/>
                <w:szCs w:val="24"/>
                <w:lang w:val="en-US"/>
              </w:rPr>
            </w:pPr>
            <w:r w:rsidRPr="00E33E20">
              <w:rPr>
                <w:rFonts w:ascii="Arial" w:hAnsi="Arial" w:cs="Arial"/>
                <w:sz w:val="24"/>
                <w:szCs w:val="24"/>
                <w:lang w:val="en-US"/>
              </w:rPr>
              <w:t>Chief</w:t>
            </w:r>
            <w:r w:rsidR="001D43AF" w:rsidRPr="00E33E20">
              <w:rPr>
                <w:rFonts w:ascii="Arial" w:hAnsi="Arial" w:cs="Arial"/>
                <w:sz w:val="24"/>
                <w:szCs w:val="24"/>
                <w:lang w:val="en-US"/>
              </w:rPr>
              <w:t xml:space="preserve"> lawyer</w:t>
            </w:r>
          </w:p>
        </w:tc>
        <w:tc>
          <w:tcPr>
            <w:tcW w:w="1510" w:type="dxa"/>
          </w:tcPr>
          <w:p w14:paraId="22B665BD" w14:textId="79E04643" w:rsidR="001D43AF" w:rsidRPr="00E33E20" w:rsidRDefault="004C101C" w:rsidP="004F3DC1">
            <w:pPr>
              <w:autoSpaceDE w:val="0"/>
              <w:autoSpaceDN w:val="0"/>
              <w:adjustRightInd w:val="0"/>
              <w:rPr>
                <w:rFonts w:ascii="Arial" w:hAnsi="Arial" w:cs="Arial"/>
                <w:sz w:val="24"/>
                <w:szCs w:val="24"/>
                <w:lang w:val="en-US"/>
              </w:rPr>
            </w:pPr>
            <w:r w:rsidRPr="00E33E20">
              <w:rPr>
                <w:rFonts w:ascii="Arial" w:hAnsi="Arial" w:cs="Arial"/>
                <w:sz w:val="24"/>
                <w:szCs w:val="24"/>
                <w:lang w:val="en-US"/>
              </w:rPr>
              <w:t>2630</w:t>
            </w:r>
          </w:p>
        </w:tc>
        <w:tc>
          <w:tcPr>
            <w:tcW w:w="1510" w:type="dxa"/>
          </w:tcPr>
          <w:p w14:paraId="4A69BAA8" w14:textId="77777777" w:rsidR="001D43AF" w:rsidRPr="00E33E20" w:rsidRDefault="001D43AF" w:rsidP="004F3DC1">
            <w:pPr>
              <w:autoSpaceDE w:val="0"/>
              <w:autoSpaceDN w:val="0"/>
              <w:adjustRightInd w:val="0"/>
              <w:rPr>
                <w:rFonts w:ascii="Arial" w:hAnsi="Arial" w:cs="Arial"/>
                <w:sz w:val="24"/>
                <w:szCs w:val="24"/>
                <w:lang w:val="en-US"/>
              </w:rPr>
            </w:pPr>
          </w:p>
        </w:tc>
        <w:tc>
          <w:tcPr>
            <w:tcW w:w="1510" w:type="dxa"/>
          </w:tcPr>
          <w:p w14:paraId="552AA54F" w14:textId="77777777" w:rsidR="001D43AF" w:rsidRPr="00E33E20" w:rsidRDefault="001D43AF" w:rsidP="004F3DC1">
            <w:pPr>
              <w:autoSpaceDE w:val="0"/>
              <w:autoSpaceDN w:val="0"/>
              <w:adjustRightInd w:val="0"/>
              <w:rPr>
                <w:rFonts w:ascii="Arial" w:hAnsi="Arial" w:cs="Arial"/>
                <w:sz w:val="24"/>
                <w:szCs w:val="24"/>
                <w:lang w:val="en-US"/>
              </w:rPr>
            </w:pPr>
          </w:p>
        </w:tc>
        <w:tc>
          <w:tcPr>
            <w:tcW w:w="1511" w:type="dxa"/>
          </w:tcPr>
          <w:p w14:paraId="60149F37" w14:textId="77777777" w:rsidR="001D43AF" w:rsidRPr="00E33E20" w:rsidRDefault="001D43AF" w:rsidP="004F3DC1">
            <w:pPr>
              <w:autoSpaceDE w:val="0"/>
              <w:autoSpaceDN w:val="0"/>
              <w:adjustRightInd w:val="0"/>
              <w:rPr>
                <w:rFonts w:ascii="Arial" w:hAnsi="Arial" w:cs="Arial"/>
                <w:sz w:val="24"/>
                <w:szCs w:val="24"/>
                <w:lang w:val="en-US"/>
              </w:rPr>
            </w:pPr>
          </w:p>
        </w:tc>
        <w:tc>
          <w:tcPr>
            <w:tcW w:w="1511" w:type="dxa"/>
          </w:tcPr>
          <w:p w14:paraId="122CE0D1" w14:textId="77777777" w:rsidR="001D43AF" w:rsidRPr="00E33E20" w:rsidRDefault="001D43AF" w:rsidP="004F3DC1">
            <w:pPr>
              <w:autoSpaceDE w:val="0"/>
              <w:autoSpaceDN w:val="0"/>
              <w:adjustRightInd w:val="0"/>
              <w:rPr>
                <w:rFonts w:ascii="Arial" w:hAnsi="Arial" w:cs="Arial"/>
                <w:sz w:val="24"/>
                <w:szCs w:val="24"/>
                <w:lang w:val="en-US"/>
              </w:rPr>
            </w:pPr>
          </w:p>
        </w:tc>
      </w:tr>
    </w:tbl>
    <w:p w14:paraId="6FF039D2" w14:textId="77777777" w:rsidR="00B22242" w:rsidRPr="00E33E20" w:rsidRDefault="00B22242" w:rsidP="009174FD">
      <w:pPr>
        <w:autoSpaceDE w:val="0"/>
        <w:autoSpaceDN w:val="0"/>
        <w:adjustRightInd w:val="0"/>
        <w:spacing w:after="0" w:line="240" w:lineRule="auto"/>
        <w:jc w:val="both"/>
        <w:rPr>
          <w:rFonts w:ascii="Arial" w:hAnsi="Arial" w:cs="Arial"/>
          <w:sz w:val="24"/>
          <w:szCs w:val="24"/>
          <w:lang w:val="en-US"/>
        </w:rPr>
      </w:pPr>
    </w:p>
    <w:p w14:paraId="56E06281" w14:textId="3BEEF2D0" w:rsidR="00B22242" w:rsidRPr="00E33E20" w:rsidRDefault="00C54810" w:rsidP="009174FD">
      <w:pPr>
        <w:autoSpaceDE w:val="0"/>
        <w:autoSpaceDN w:val="0"/>
        <w:adjustRightInd w:val="0"/>
        <w:spacing w:after="0" w:line="240" w:lineRule="auto"/>
        <w:jc w:val="both"/>
        <w:rPr>
          <w:rFonts w:ascii="Arial" w:hAnsi="Arial" w:cs="Arial"/>
          <w:b/>
          <w:bCs/>
          <w:sz w:val="24"/>
          <w:szCs w:val="24"/>
          <w:lang w:val="en-US"/>
        </w:rPr>
      </w:pPr>
      <w:r w:rsidRPr="00E33E20">
        <w:rPr>
          <w:rFonts w:ascii="Arial" w:hAnsi="Arial" w:cs="Arial"/>
          <w:b/>
          <w:bCs/>
          <w:sz w:val="24"/>
          <w:szCs w:val="24"/>
          <w:lang w:val="en-US"/>
        </w:rPr>
        <w:t xml:space="preserve">Inspections </w:t>
      </w:r>
      <w:r w:rsidRPr="00E33E20">
        <w:rPr>
          <w:rFonts w:ascii="Arial" w:hAnsi="Arial" w:cs="Arial"/>
          <w:b/>
          <w:bCs/>
          <w:sz w:val="24"/>
          <w:szCs w:val="24"/>
          <w:lang w:val="en-US"/>
        </w:rPr>
        <w:t>without notice</w:t>
      </w:r>
    </w:p>
    <w:p w14:paraId="3BB1965A" w14:textId="77777777" w:rsidR="00B22242" w:rsidRPr="00E33E20" w:rsidRDefault="00B22242" w:rsidP="009174FD">
      <w:pPr>
        <w:autoSpaceDE w:val="0"/>
        <w:autoSpaceDN w:val="0"/>
        <w:adjustRightInd w:val="0"/>
        <w:spacing w:after="0" w:line="240" w:lineRule="auto"/>
        <w:jc w:val="both"/>
        <w:rPr>
          <w:rFonts w:ascii="Arial" w:hAnsi="Arial" w:cs="Arial"/>
          <w:sz w:val="24"/>
          <w:szCs w:val="24"/>
          <w:lang w:val="en-US"/>
        </w:rPr>
      </w:pPr>
    </w:p>
    <w:p w14:paraId="2F7422D3" w14:textId="5E5BA0B7" w:rsidR="00022735" w:rsidRPr="00E33E20" w:rsidRDefault="00E33E20"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The</w:t>
      </w:r>
      <w:r w:rsidR="00022735" w:rsidRPr="00E33E20">
        <w:rPr>
          <w:rFonts w:ascii="Arial" w:hAnsi="Arial" w:cs="Arial"/>
          <w:sz w:val="24"/>
          <w:szCs w:val="24"/>
          <w:lang w:val="en-US"/>
        </w:rPr>
        <w:t xml:space="preserve"> labour inspectors do have the power to carry out inspections without consent</w:t>
      </w:r>
      <w:r w:rsidR="002226D1" w:rsidRPr="00E33E20">
        <w:rPr>
          <w:rFonts w:ascii="Arial" w:hAnsi="Arial" w:cs="Arial"/>
          <w:sz w:val="24"/>
          <w:szCs w:val="24"/>
          <w:lang w:val="en-US"/>
        </w:rPr>
        <w:t xml:space="preserve"> or prior notice</w:t>
      </w:r>
      <w:r w:rsidR="00022735" w:rsidRPr="00E33E20">
        <w:rPr>
          <w:rFonts w:ascii="Arial" w:hAnsi="Arial" w:cs="Arial"/>
          <w:sz w:val="24"/>
          <w:szCs w:val="24"/>
          <w:lang w:val="en-US"/>
        </w:rPr>
        <w:t>:</w:t>
      </w:r>
    </w:p>
    <w:p w14:paraId="73F6BF14" w14:textId="77777777" w:rsidR="002226D1" w:rsidRPr="00E33E20" w:rsidRDefault="002226D1" w:rsidP="009174FD">
      <w:pPr>
        <w:autoSpaceDE w:val="0"/>
        <w:autoSpaceDN w:val="0"/>
        <w:adjustRightInd w:val="0"/>
        <w:spacing w:after="0" w:line="240" w:lineRule="auto"/>
        <w:jc w:val="both"/>
        <w:rPr>
          <w:rFonts w:ascii="Arial" w:hAnsi="Arial" w:cs="Arial"/>
          <w:sz w:val="24"/>
          <w:szCs w:val="24"/>
          <w:lang w:val="en-US"/>
        </w:rPr>
      </w:pPr>
    </w:p>
    <w:p w14:paraId="713D7EFF" w14:textId="417AD36C" w:rsidR="00022735" w:rsidRPr="00E33E20" w:rsidRDefault="00022735" w:rsidP="009174FD">
      <w:pPr>
        <w:autoSpaceDE w:val="0"/>
        <w:autoSpaceDN w:val="0"/>
        <w:adjustRightInd w:val="0"/>
        <w:spacing w:after="0" w:line="240" w:lineRule="auto"/>
        <w:jc w:val="both"/>
        <w:rPr>
          <w:rFonts w:ascii="Arial" w:hAnsi="Arial" w:cs="Arial"/>
          <w:sz w:val="24"/>
          <w:szCs w:val="24"/>
          <w:lang w:val="en-US"/>
        </w:rPr>
      </w:pPr>
      <w:hyperlink r:id="rId21" w:history="1">
        <w:r w:rsidRPr="00E33E20">
          <w:rPr>
            <w:rStyle w:val="Hperlink"/>
            <w:rFonts w:ascii="Arial" w:hAnsi="Arial" w:cs="Arial"/>
            <w:sz w:val="24"/>
            <w:szCs w:val="24"/>
            <w:lang w:val="en-US"/>
          </w:rPr>
          <w:t>Law Enforcement Act</w:t>
        </w:r>
      </w:hyperlink>
      <w:r w:rsidR="00E33E20" w:rsidRPr="00E33E20">
        <w:rPr>
          <w:rFonts w:ascii="Arial" w:hAnsi="Arial" w:cs="Arial"/>
          <w:sz w:val="24"/>
          <w:szCs w:val="24"/>
          <w:lang w:val="en-US"/>
        </w:rPr>
        <w:t xml:space="preserve">, </w:t>
      </w:r>
      <w:r w:rsidRPr="00E33E20">
        <w:rPr>
          <w:rFonts w:ascii="Arial" w:hAnsi="Arial" w:cs="Arial"/>
          <w:sz w:val="24"/>
          <w:szCs w:val="24"/>
          <w:lang w:val="en-US"/>
        </w:rPr>
        <w:t>§ 50. Entry into premises</w:t>
      </w:r>
    </w:p>
    <w:p w14:paraId="7B73DA22" w14:textId="77777777" w:rsidR="002226D1" w:rsidRPr="00E33E20" w:rsidRDefault="002226D1" w:rsidP="009174FD">
      <w:pPr>
        <w:autoSpaceDE w:val="0"/>
        <w:autoSpaceDN w:val="0"/>
        <w:adjustRightInd w:val="0"/>
        <w:spacing w:after="0" w:line="240" w:lineRule="auto"/>
        <w:jc w:val="both"/>
        <w:rPr>
          <w:rFonts w:ascii="Arial" w:hAnsi="Arial" w:cs="Arial"/>
          <w:sz w:val="24"/>
          <w:szCs w:val="24"/>
          <w:lang w:val="en-US"/>
        </w:rPr>
      </w:pPr>
    </w:p>
    <w:p w14:paraId="12DA1906" w14:textId="3553E4C4" w:rsidR="002226D1" w:rsidRPr="00E33E20" w:rsidRDefault="00E33E20" w:rsidP="00E33E20">
      <w:pPr>
        <w:autoSpaceDE w:val="0"/>
        <w:autoSpaceDN w:val="0"/>
        <w:adjustRightInd w:val="0"/>
        <w:spacing w:after="0" w:line="240" w:lineRule="auto"/>
        <w:jc w:val="both"/>
        <w:rPr>
          <w:rFonts w:ascii="Arial" w:hAnsi="Arial" w:cs="Arial"/>
          <w:i/>
          <w:iCs/>
          <w:sz w:val="24"/>
          <w:szCs w:val="24"/>
          <w:lang w:val="en-US"/>
        </w:rPr>
      </w:pPr>
      <w:r w:rsidRPr="00E33E20">
        <w:rPr>
          <w:rFonts w:ascii="Arial" w:hAnsi="Arial" w:cs="Arial"/>
          <w:i/>
          <w:iCs/>
          <w:sz w:val="24"/>
          <w:szCs w:val="24"/>
          <w:lang w:val="en-US"/>
        </w:rPr>
        <w:t xml:space="preserve">(1) </w:t>
      </w:r>
      <w:r w:rsidR="00022735" w:rsidRPr="00E33E20">
        <w:rPr>
          <w:rFonts w:ascii="Arial" w:hAnsi="Arial" w:cs="Arial"/>
          <w:i/>
          <w:iCs/>
          <w:sz w:val="24"/>
          <w:szCs w:val="24"/>
          <w:lang w:val="en-US"/>
        </w:rPr>
        <w:t xml:space="preserve">The police or, in the cases provided by law, another law enforcement agency may enter without the consent of the possessor a fenced or marked </w:t>
      </w:r>
      <w:proofErr w:type="gramStart"/>
      <w:r w:rsidR="00022735" w:rsidRPr="00E33E20">
        <w:rPr>
          <w:rFonts w:ascii="Arial" w:hAnsi="Arial" w:cs="Arial"/>
          <w:i/>
          <w:iCs/>
          <w:sz w:val="24"/>
          <w:szCs w:val="24"/>
          <w:lang w:val="en-US"/>
        </w:rPr>
        <w:t>immovable,</w:t>
      </w:r>
      <w:proofErr w:type="gramEnd"/>
      <w:r w:rsidR="00022735" w:rsidRPr="00E33E20">
        <w:rPr>
          <w:rFonts w:ascii="Arial" w:hAnsi="Arial" w:cs="Arial"/>
          <w:i/>
          <w:iCs/>
          <w:sz w:val="24"/>
          <w:szCs w:val="24"/>
          <w:lang w:val="en-US"/>
        </w:rPr>
        <w:t xml:space="preserve"> building, dwelling or room in their possession, including open doors and gates or eliminate other obstacles if</w:t>
      </w:r>
      <w:r w:rsidR="002226D1" w:rsidRPr="00E33E20">
        <w:rPr>
          <w:rFonts w:ascii="Arial" w:hAnsi="Arial" w:cs="Arial"/>
          <w:i/>
          <w:iCs/>
          <w:sz w:val="24"/>
          <w:szCs w:val="24"/>
          <w:lang w:val="en-US"/>
        </w:rPr>
        <w:t>:</w:t>
      </w:r>
    </w:p>
    <w:p w14:paraId="63F205B3" w14:textId="77777777" w:rsidR="00022735" w:rsidRPr="00E33E20" w:rsidRDefault="00022735" w:rsidP="009174FD">
      <w:pPr>
        <w:autoSpaceDE w:val="0"/>
        <w:autoSpaceDN w:val="0"/>
        <w:adjustRightInd w:val="0"/>
        <w:spacing w:after="0" w:line="240" w:lineRule="auto"/>
        <w:jc w:val="both"/>
        <w:rPr>
          <w:rFonts w:ascii="Arial" w:hAnsi="Arial" w:cs="Arial"/>
          <w:i/>
          <w:iCs/>
          <w:sz w:val="24"/>
          <w:szCs w:val="24"/>
          <w:lang w:val="en-US"/>
        </w:rPr>
      </w:pPr>
      <w:r w:rsidRPr="00E33E20">
        <w:rPr>
          <w:rFonts w:ascii="Arial" w:hAnsi="Arial" w:cs="Arial"/>
          <w:i/>
          <w:iCs/>
          <w:sz w:val="24"/>
          <w:szCs w:val="24"/>
          <w:lang w:val="en-US"/>
        </w:rPr>
        <w:t xml:space="preserve">1) it is necessary for ascertaining or countering a serious </w:t>
      </w:r>
      <w:proofErr w:type="gramStart"/>
      <w:r w:rsidRPr="00E33E20">
        <w:rPr>
          <w:rFonts w:ascii="Arial" w:hAnsi="Arial" w:cs="Arial"/>
          <w:i/>
          <w:iCs/>
          <w:sz w:val="24"/>
          <w:szCs w:val="24"/>
          <w:lang w:val="en-US"/>
        </w:rPr>
        <w:t>threat;</w:t>
      </w:r>
      <w:proofErr w:type="gramEnd"/>
    </w:p>
    <w:p w14:paraId="56D1A102" w14:textId="77777777" w:rsidR="00022735" w:rsidRPr="00E33E20" w:rsidRDefault="00022735" w:rsidP="009174FD">
      <w:pPr>
        <w:autoSpaceDE w:val="0"/>
        <w:autoSpaceDN w:val="0"/>
        <w:adjustRightInd w:val="0"/>
        <w:spacing w:after="0" w:line="240" w:lineRule="auto"/>
        <w:jc w:val="both"/>
        <w:rPr>
          <w:rFonts w:ascii="Arial" w:hAnsi="Arial" w:cs="Arial"/>
          <w:i/>
          <w:iCs/>
          <w:sz w:val="24"/>
          <w:szCs w:val="24"/>
          <w:lang w:val="en-US"/>
        </w:rPr>
      </w:pPr>
      <w:r w:rsidRPr="00E33E20">
        <w:rPr>
          <w:rFonts w:ascii="Arial" w:hAnsi="Arial" w:cs="Arial"/>
          <w:i/>
          <w:iCs/>
          <w:sz w:val="24"/>
          <w:szCs w:val="24"/>
          <w:lang w:val="en-US"/>
        </w:rPr>
        <w:t xml:space="preserve">2) if there is reason to believe that a person who may be deprived of liberty pursuant to law or whose life, health or physical inviolability is in danger due to their need of assistance has entered the fenced or marked immovable, building or </w:t>
      </w:r>
      <w:proofErr w:type="gramStart"/>
      <w:r w:rsidRPr="00E33E20">
        <w:rPr>
          <w:rFonts w:ascii="Arial" w:hAnsi="Arial" w:cs="Arial"/>
          <w:i/>
          <w:iCs/>
          <w:sz w:val="24"/>
          <w:szCs w:val="24"/>
          <w:lang w:val="en-US"/>
        </w:rPr>
        <w:t>room;</w:t>
      </w:r>
      <w:proofErr w:type="gramEnd"/>
    </w:p>
    <w:p w14:paraId="431AA2AB" w14:textId="77777777" w:rsidR="00022735" w:rsidRPr="00E33E20" w:rsidRDefault="00022735" w:rsidP="009174FD">
      <w:pPr>
        <w:autoSpaceDE w:val="0"/>
        <w:autoSpaceDN w:val="0"/>
        <w:adjustRightInd w:val="0"/>
        <w:spacing w:after="0" w:line="240" w:lineRule="auto"/>
        <w:jc w:val="both"/>
        <w:rPr>
          <w:rFonts w:ascii="Arial" w:hAnsi="Arial" w:cs="Arial"/>
          <w:i/>
          <w:iCs/>
          <w:sz w:val="24"/>
          <w:szCs w:val="24"/>
          <w:lang w:val="en-US"/>
        </w:rPr>
      </w:pPr>
      <w:r w:rsidRPr="00E33E20">
        <w:rPr>
          <w:rFonts w:ascii="Arial" w:hAnsi="Arial" w:cs="Arial"/>
          <w:i/>
          <w:iCs/>
          <w:sz w:val="24"/>
          <w:szCs w:val="24"/>
          <w:lang w:val="en-US"/>
        </w:rPr>
        <w:t xml:space="preserve">3) if it is necessary for preventing, ascertaining or countering a threat or for eliminating a disorder upon ensuring the compliance with the requirements established by or </w:t>
      </w:r>
      <w:proofErr w:type="gramStart"/>
      <w:r w:rsidRPr="00E33E20">
        <w:rPr>
          <w:rFonts w:ascii="Arial" w:hAnsi="Arial" w:cs="Arial"/>
          <w:i/>
          <w:iCs/>
          <w:sz w:val="24"/>
          <w:szCs w:val="24"/>
          <w:lang w:val="en-US"/>
        </w:rPr>
        <w:t>on the basis of</w:t>
      </w:r>
      <w:proofErr w:type="gramEnd"/>
      <w:r w:rsidRPr="00E33E20">
        <w:rPr>
          <w:rFonts w:ascii="Arial" w:hAnsi="Arial" w:cs="Arial"/>
          <w:i/>
          <w:iCs/>
          <w:sz w:val="24"/>
          <w:szCs w:val="24"/>
          <w:lang w:val="en-US"/>
        </w:rPr>
        <w:t xml:space="preserve"> law, and the verification of the compliance with such requirements lies within the competence of the law enforcement agency entering the premises.</w:t>
      </w:r>
    </w:p>
    <w:p w14:paraId="41B61407" w14:textId="77777777" w:rsidR="002226D1" w:rsidRPr="00E33E20" w:rsidRDefault="002226D1" w:rsidP="009174FD">
      <w:pPr>
        <w:autoSpaceDE w:val="0"/>
        <w:autoSpaceDN w:val="0"/>
        <w:adjustRightInd w:val="0"/>
        <w:spacing w:after="0" w:line="240" w:lineRule="auto"/>
        <w:jc w:val="both"/>
        <w:rPr>
          <w:rFonts w:ascii="Arial" w:hAnsi="Arial" w:cs="Arial"/>
          <w:sz w:val="24"/>
          <w:szCs w:val="24"/>
          <w:lang w:val="en-US"/>
        </w:rPr>
      </w:pPr>
    </w:p>
    <w:p w14:paraId="6FDF44E6" w14:textId="1B67354D" w:rsidR="00022735" w:rsidRPr="00E33E20" w:rsidRDefault="00022735"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Business premises</w:t>
      </w:r>
      <w:r w:rsidR="00E33E20">
        <w:rPr>
          <w:rFonts w:ascii="Arial" w:hAnsi="Arial" w:cs="Arial"/>
          <w:sz w:val="24"/>
          <w:szCs w:val="24"/>
          <w:lang w:val="en-US"/>
        </w:rPr>
        <w:t xml:space="preserve">, </w:t>
      </w:r>
      <w:proofErr w:type="gramStart"/>
      <w:r w:rsidR="00E33E20">
        <w:rPr>
          <w:rFonts w:ascii="Arial" w:hAnsi="Arial" w:cs="Arial"/>
          <w:sz w:val="24"/>
          <w:szCs w:val="24"/>
          <w:lang w:val="en-US"/>
        </w:rPr>
        <w:t>as a general rule</w:t>
      </w:r>
      <w:proofErr w:type="gramEnd"/>
      <w:r w:rsidR="00E33E20">
        <w:rPr>
          <w:rFonts w:ascii="Arial" w:hAnsi="Arial" w:cs="Arial"/>
          <w:sz w:val="24"/>
          <w:szCs w:val="24"/>
          <w:lang w:val="en-US"/>
        </w:rPr>
        <w:t>,</w:t>
      </w:r>
      <w:r w:rsidRPr="00E33E20">
        <w:rPr>
          <w:rFonts w:ascii="Arial" w:hAnsi="Arial" w:cs="Arial"/>
          <w:sz w:val="24"/>
          <w:szCs w:val="24"/>
          <w:lang w:val="en-US"/>
        </w:rPr>
        <w:t xml:space="preserve"> should be entered during business hours:</w:t>
      </w:r>
    </w:p>
    <w:p w14:paraId="40A79E3F" w14:textId="77777777" w:rsidR="006E0C16" w:rsidRPr="00E33E20" w:rsidRDefault="006E0C16" w:rsidP="009174FD">
      <w:pPr>
        <w:autoSpaceDE w:val="0"/>
        <w:autoSpaceDN w:val="0"/>
        <w:adjustRightInd w:val="0"/>
        <w:spacing w:after="0" w:line="240" w:lineRule="auto"/>
        <w:jc w:val="both"/>
        <w:rPr>
          <w:rFonts w:ascii="Arial" w:hAnsi="Arial" w:cs="Arial"/>
          <w:sz w:val="24"/>
          <w:szCs w:val="24"/>
          <w:lang w:val="en-US"/>
        </w:rPr>
      </w:pPr>
    </w:p>
    <w:p w14:paraId="6E6D83B4" w14:textId="77777777" w:rsidR="00E33E20" w:rsidRPr="00E33E20" w:rsidRDefault="00022735" w:rsidP="00E33E20">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Law Enforcement Act</w:t>
      </w:r>
      <w:r w:rsidR="00E33E20">
        <w:rPr>
          <w:rFonts w:ascii="Arial" w:hAnsi="Arial" w:cs="Arial"/>
          <w:sz w:val="24"/>
          <w:szCs w:val="24"/>
          <w:lang w:val="en-US"/>
        </w:rPr>
        <w:t xml:space="preserve">, </w:t>
      </w:r>
      <w:r w:rsidR="006E0C16" w:rsidRPr="00E33E20">
        <w:rPr>
          <w:rFonts w:ascii="Arial" w:hAnsi="Arial" w:cs="Arial"/>
          <w:sz w:val="24"/>
          <w:szCs w:val="24"/>
          <w:lang w:val="en-US"/>
        </w:rPr>
        <w:t xml:space="preserve">§ </w:t>
      </w:r>
      <w:r w:rsidRPr="00E33E20">
        <w:rPr>
          <w:rFonts w:ascii="Arial" w:hAnsi="Arial" w:cs="Arial"/>
          <w:sz w:val="24"/>
          <w:szCs w:val="24"/>
          <w:lang w:val="en-US"/>
        </w:rPr>
        <w:t>50</w:t>
      </w:r>
      <w:r w:rsidR="00E33E20">
        <w:rPr>
          <w:rFonts w:ascii="Arial" w:hAnsi="Arial" w:cs="Arial"/>
          <w:sz w:val="24"/>
          <w:szCs w:val="24"/>
          <w:lang w:val="en-US"/>
        </w:rPr>
        <w:t xml:space="preserve">. </w:t>
      </w:r>
      <w:r w:rsidR="00E33E20" w:rsidRPr="00E33E20">
        <w:rPr>
          <w:rFonts w:ascii="Arial" w:hAnsi="Arial" w:cs="Arial"/>
          <w:sz w:val="24"/>
          <w:szCs w:val="24"/>
          <w:lang w:val="en-US"/>
        </w:rPr>
        <w:t>Entry into premises</w:t>
      </w:r>
    </w:p>
    <w:p w14:paraId="34511037" w14:textId="7A627338" w:rsidR="00E33E20" w:rsidRDefault="00E33E20" w:rsidP="009174FD">
      <w:pPr>
        <w:autoSpaceDE w:val="0"/>
        <w:autoSpaceDN w:val="0"/>
        <w:adjustRightInd w:val="0"/>
        <w:spacing w:after="0" w:line="240" w:lineRule="auto"/>
        <w:jc w:val="both"/>
        <w:rPr>
          <w:rFonts w:ascii="Arial" w:hAnsi="Arial" w:cs="Arial"/>
          <w:sz w:val="24"/>
          <w:szCs w:val="24"/>
          <w:lang w:val="en-US"/>
        </w:rPr>
      </w:pPr>
    </w:p>
    <w:p w14:paraId="6A6AF312" w14:textId="4BC73535" w:rsidR="00022735" w:rsidRPr="00E33E20" w:rsidRDefault="00022735" w:rsidP="009174FD">
      <w:pPr>
        <w:autoSpaceDE w:val="0"/>
        <w:autoSpaceDN w:val="0"/>
        <w:adjustRightInd w:val="0"/>
        <w:spacing w:after="0" w:line="240" w:lineRule="auto"/>
        <w:jc w:val="both"/>
        <w:rPr>
          <w:rFonts w:ascii="Arial" w:hAnsi="Arial" w:cs="Arial"/>
          <w:i/>
          <w:iCs/>
          <w:sz w:val="24"/>
          <w:szCs w:val="24"/>
          <w:lang w:val="en-US"/>
        </w:rPr>
      </w:pPr>
      <w:r w:rsidRPr="00E33E20">
        <w:rPr>
          <w:rFonts w:ascii="Arial" w:hAnsi="Arial" w:cs="Arial"/>
          <w:i/>
          <w:iCs/>
          <w:sz w:val="24"/>
          <w:szCs w:val="24"/>
          <w:lang w:val="en-US"/>
        </w:rPr>
        <w:t xml:space="preserve">(3) The premises are entered, if possible, in the presence of the possessor or another entitled person and during the period from 7 a.m. to 11 p.m. </w:t>
      </w:r>
      <w:r w:rsidR="004C530B" w:rsidRPr="00E33E20">
        <w:rPr>
          <w:rFonts w:ascii="Arial" w:hAnsi="Arial" w:cs="Arial"/>
          <w:i/>
          <w:iCs/>
          <w:sz w:val="24"/>
          <w:szCs w:val="24"/>
          <w:lang w:val="en-US"/>
        </w:rPr>
        <w:t>b</w:t>
      </w:r>
      <w:r w:rsidRPr="00E33E20">
        <w:rPr>
          <w:rFonts w:ascii="Arial" w:hAnsi="Arial" w:cs="Arial"/>
          <w:i/>
          <w:iCs/>
          <w:sz w:val="24"/>
          <w:szCs w:val="24"/>
          <w:lang w:val="en-US"/>
        </w:rPr>
        <w:t>usiness premises are entered, if possible, during their business hours.</w:t>
      </w:r>
    </w:p>
    <w:p w14:paraId="2F910706" w14:textId="77777777" w:rsidR="00E33E20" w:rsidRDefault="00E33E20" w:rsidP="009174FD">
      <w:pPr>
        <w:autoSpaceDE w:val="0"/>
        <w:autoSpaceDN w:val="0"/>
        <w:adjustRightInd w:val="0"/>
        <w:spacing w:after="0" w:line="240" w:lineRule="auto"/>
        <w:jc w:val="both"/>
        <w:rPr>
          <w:rFonts w:ascii="Arial" w:hAnsi="Arial" w:cs="Arial"/>
          <w:i/>
          <w:iCs/>
          <w:sz w:val="24"/>
          <w:szCs w:val="24"/>
          <w:lang w:val="en-US"/>
        </w:rPr>
      </w:pPr>
    </w:p>
    <w:p w14:paraId="23FBF686" w14:textId="430F7067" w:rsidR="00022735" w:rsidRPr="00E33E20" w:rsidRDefault="00E33E20" w:rsidP="009174FD">
      <w:pPr>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Although,</w:t>
      </w:r>
      <w:r w:rsidR="00022735" w:rsidRPr="00E33E20">
        <w:rPr>
          <w:rFonts w:ascii="Arial" w:hAnsi="Arial" w:cs="Arial"/>
          <w:sz w:val="24"/>
          <w:szCs w:val="24"/>
          <w:lang w:val="en-US"/>
        </w:rPr>
        <w:t xml:space="preserve"> if there is a need to inspect at night (e.g. a nightclub or similar establishment), then this right exists</w:t>
      </w:r>
      <w:r>
        <w:rPr>
          <w:rFonts w:ascii="Arial" w:hAnsi="Arial" w:cs="Arial"/>
          <w:sz w:val="24"/>
          <w:szCs w:val="24"/>
          <w:lang w:val="en-US"/>
        </w:rPr>
        <w:t xml:space="preserve"> as well.</w:t>
      </w:r>
    </w:p>
    <w:p w14:paraId="1DA51EE9" w14:textId="77777777" w:rsidR="001E6F2D" w:rsidRPr="00E33E20" w:rsidRDefault="001E6F2D" w:rsidP="009174FD">
      <w:pPr>
        <w:autoSpaceDE w:val="0"/>
        <w:autoSpaceDN w:val="0"/>
        <w:adjustRightInd w:val="0"/>
        <w:spacing w:after="0" w:line="240" w:lineRule="auto"/>
        <w:jc w:val="both"/>
        <w:rPr>
          <w:rFonts w:ascii="Arial" w:hAnsi="Arial" w:cs="Arial"/>
          <w:sz w:val="24"/>
          <w:szCs w:val="24"/>
          <w:lang w:val="en-US"/>
        </w:rPr>
      </w:pPr>
    </w:p>
    <w:p w14:paraId="5DB1EBEF" w14:textId="0CBADA61" w:rsidR="00FB08C6" w:rsidRPr="00E33E20" w:rsidRDefault="00FB08C6"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 xml:space="preserve">Inspection is an administrative </w:t>
      </w:r>
      <w:proofErr w:type="gramStart"/>
      <w:r w:rsidRPr="00E33E20">
        <w:rPr>
          <w:rFonts w:ascii="Arial" w:hAnsi="Arial" w:cs="Arial"/>
          <w:sz w:val="24"/>
          <w:szCs w:val="24"/>
          <w:lang w:val="en-US"/>
        </w:rPr>
        <w:t>procedure</w:t>
      </w:r>
      <w:proofErr w:type="gramEnd"/>
      <w:r w:rsidRPr="00E33E20">
        <w:rPr>
          <w:rFonts w:ascii="Arial" w:hAnsi="Arial" w:cs="Arial"/>
          <w:sz w:val="24"/>
          <w:szCs w:val="24"/>
          <w:lang w:val="en-US"/>
        </w:rPr>
        <w:t xml:space="preserve"> </w:t>
      </w:r>
      <w:r w:rsidR="00E33E20" w:rsidRPr="00E33E20">
        <w:rPr>
          <w:rFonts w:ascii="Arial" w:hAnsi="Arial" w:cs="Arial"/>
          <w:sz w:val="24"/>
          <w:szCs w:val="24"/>
          <w:lang w:val="en-US"/>
        </w:rPr>
        <w:t>and</w:t>
      </w:r>
      <w:r w:rsidRPr="00E33E20">
        <w:rPr>
          <w:rFonts w:ascii="Arial" w:hAnsi="Arial" w:cs="Arial"/>
          <w:sz w:val="24"/>
          <w:szCs w:val="24"/>
          <w:lang w:val="en-US"/>
        </w:rPr>
        <w:t xml:space="preserve"> it is regulated in addition to Law Enforcement Act by </w:t>
      </w:r>
      <w:r w:rsidR="00E33E20" w:rsidRPr="00E33E20">
        <w:rPr>
          <w:rFonts w:ascii="Arial" w:hAnsi="Arial" w:cs="Arial"/>
          <w:sz w:val="24"/>
          <w:szCs w:val="24"/>
          <w:lang w:val="en-US"/>
        </w:rPr>
        <w:t>the Administrative</w:t>
      </w:r>
      <w:r w:rsidRPr="00E33E20">
        <w:rPr>
          <w:rFonts w:ascii="Arial" w:hAnsi="Arial" w:cs="Arial"/>
          <w:sz w:val="24"/>
          <w:szCs w:val="24"/>
          <w:lang w:val="en-US"/>
        </w:rPr>
        <w:t xml:space="preserve"> Procedure Act.</w:t>
      </w:r>
    </w:p>
    <w:p w14:paraId="77BE4A95" w14:textId="77777777" w:rsidR="00FB08C6" w:rsidRPr="00E33E20" w:rsidRDefault="00FB08C6" w:rsidP="009174FD">
      <w:pPr>
        <w:autoSpaceDE w:val="0"/>
        <w:autoSpaceDN w:val="0"/>
        <w:adjustRightInd w:val="0"/>
        <w:spacing w:after="0" w:line="240" w:lineRule="auto"/>
        <w:jc w:val="both"/>
        <w:rPr>
          <w:rFonts w:ascii="Arial" w:hAnsi="Arial" w:cs="Arial"/>
          <w:sz w:val="24"/>
          <w:szCs w:val="24"/>
          <w:lang w:val="en-US"/>
        </w:rPr>
      </w:pPr>
    </w:p>
    <w:p w14:paraId="79CF9BEC" w14:textId="4CCC3B82" w:rsidR="00FB08C6" w:rsidRPr="00E33E20" w:rsidRDefault="00FB08C6" w:rsidP="009174FD">
      <w:pPr>
        <w:autoSpaceDE w:val="0"/>
        <w:autoSpaceDN w:val="0"/>
        <w:adjustRightInd w:val="0"/>
        <w:spacing w:after="0" w:line="240" w:lineRule="auto"/>
        <w:jc w:val="both"/>
        <w:rPr>
          <w:rFonts w:ascii="Arial" w:hAnsi="Arial" w:cs="Arial"/>
          <w:sz w:val="24"/>
          <w:szCs w:val="24"/>
          <w:lang w:val="en-US"/>
        </w:rPr>
      </w:pPr>
      <w:hyperlink r:id="rId22" w:history="1">
        <w:r w:rsidRPr="00E33E20">
          <w:rPr>
            <w:rStyle w:val="Hperlink"/>
            <w:rFonts w:ascii="Arial" w:hAnsi="Arial" w:cs="Arial"/>
            <w:sz w:val="24"/>
            <w:szCs w:val="24"/>
            <w:lang w:val="en-US"/>
          </w:rPr>
          <w:t>Administrative Procedure Act</w:t>
        </w:r>
      </w:hyperlink>
      <w:r w:rsidR="00E33E20">
        <w:rPr>
          <w:rFonts w:ascii="Arial" w:hAnsi="Arial" w:cs="Arial"/>
          <w:sz w:val="24"/>
          <w:szCs w:val="24"/>
          <w:lang w:val="en-US"/>
        </w:rPr>
        <w:t xml:space="preserve">, </w:t>
      </w:r>
      <w:r w:rsidRPr="00E33E20">
        <w:rPr>
          <w:rFonts w:ascii="Arial" w:hAnsi="Arial" w:cs="Arial"/>
          <w:sz w:val="24"/>
          <w:szCs w:val="24"/>
          <w:lang w:val="en-US"/>
        </w:rPr>
        <w:t>§ 35. Commencement of proceedings</w:t>
      </w:r>
    </w:p>
    <w:p w14:paraId="1B44953C" w14:textId="77777777" w:rsidR="00FB08C6" w:rsidRPr="00E33E20" w:rsidRDefault="00FB08C6" w:rsidP="009174FD">
      <w:pPr>
        <w:autoSpaceDE w:val="0"/>
        <w:autoSpaceDN w:val="0"/>
        <w:adjustRightInd w:val="0"/>
        <w:spacing w:after="0" w:line="240" w:lineRule="auto"/>
        <w:jc w:val="both"/>
        <w:rPr>
          <w:rFonts w:ascii="Arial" w:hAnsi="Arial" w:cs="Arial"/>
          <w:sz w:val="24"/>
          <w:szCs w:val="24"/>
          <w:lang w:val="en-US"/>
        </w:rPr>
      </w:pPr>
    </w:p>
    <w:p w14:paraId="62CD59EF" w14:textId="5E252D05" w:rsidR="00FB08C6" w:rsidRPr="00E33E20" w:rsidRDefault="00E33E20" w:rsidP="00E33E20">
      <w:pPr>
        <w:autoSpaceDE w:val="0"/>
        <w:autoSpaceDN w:val="0"/>
        <w:adjustRightInd w:val="0"/>
        <w:spacing w:after="0" w:line="240" w:lineRule="auto"/>
        <w:jc w:val="both"/>
        <w:rPr>
          <w:rFonts w:ascii="Arial" w:hAnsi="Arial" w:cs="Arial"/>
          <w:i/>
          <w:iCs/>
          <w:sz w:val="24"/>
          <w:szCs w:val="24"/>
          <w:lang w:val="en-US"/>
        </w:rPr>
      </w:pPr>
      <w:r w:rsidRPr="00E33E20">
        <w:rPr>
          <w:rFonts w:ascii="Arial" w:hAnsi="Arial" w:cs="Arial"/>
          <w:i/>
          <w:iCs/>
          <w:sz w:val="24"/>
          <w:szCs w:val="24"/>
          <w:lang w:val="en-US"/>
        </w:rPr>
        <w:t xml:space="preserve">(1) </w:t>
      </w:r>
      <w:r w:rsidR="00FB08C6" w:rsidRPr="00E33E20">
        <w:rPr>
          <w:rFonts w:ascii="Arial" w:hAnsi="Arial" w:cs="Arial"/>
          <w:i/>
          <w:iCs/>
          <w:sz w:val="24"/>
          <w:szCs w:val="24"/>
          <w:lang w:val="en-US"/>
        </w:rPr>
        <w:t xml:space="preserve">Administrative proceedings for </w:t>
      </w:r>
      <w:proofErr w:type="gramStart"/>
      <w:r w:rsidR="00FB08C6" w:rsidRPr="00E33E20">
        <w:rPr>
          <w:rFonts w:ascii="Arial" w:hAnsi="Arial" w:cs="Arial"/>
          <w:i/>
          <w:iCs/>
          <w:sz w:val="24"/>
          <w:szCs w:val="24"/>
          <w:lang w:val="en-US"/>
        </w:rPr>
        <w:t>issue</w:t>
      </w:r>
      <w:proofErr w:type="gramEnd"/>
      <w:r w:rsidR="00FB08C6" w:rsidRPr="00E33E20">
        <w:rPr>
          <w:rFonts w:ascii="Arial" w:hAnsi="Arial" w:cs="Arial"/>
          <w:i/>
          <w:iCs/>
          <w:sz w:val="24"/>
          <w:szCs w:val="24"/>
          <w:lang w:val="en-US"/>
        </w:rPr>
        <w:t xml:space="preserve"> of an administrative decision or taking a measure shall commence as follows:</w:t>
      </w:r>
    </w:p>
    <w:p w14:paraId="34686E52" w14:textId="77777777" w:rsidR="00FB08C6" w:rsidRPr="00E33E20" w:rsidRDefault="00FB08C6" w:rsidP="009174FD">
      <w:pPr>
        <w:autoSpaceDE w:val="0"/>
        <w:autoSpaceDN w:val="0"/>
        <w:adjustRightInd w:val="0"/>
        <w:spacing w:after="0" w:line="240" w:lineRule="auto"/>
        <w:jc w:val="both"/>
        <w:rPr>
          <w:rFonts w:ascii="Arial" w:hAnsi="Arial" w:cs="Arial"/>
          <w:i/>
          <w:iCs/>
          <w:sz w:val="24"/>
          <w:szCs w:val="24"/>
          <w:lang w:val="en-US"/>
        </w:rPr>
      </w:pPr>
      <w:r w:rsidRPr="00E33E20">
        <w:rPr>
          <w:rFonts w:ascii="Arial" w:hAnsi="Arial" w:cs="Arial"/>
          <w:i/>
          <w:iCs/>
          <w:sz w:val="24"/>
          <w:szCs w:val="24"/>
          <w:lang w:val="en-US"/>
        </w:rPr>
        <w:t xml:space="preserve">1) by submission of an application to an administrative </w:t>
      </w:r>
      <w:proofErr w:type="gramStart"/>
      <w:r w:rsidRPr="00E33E20">
        <w:rPr>
          <w:rFonts w:ascii="Arial" w:hAnsi="Arial" w:cs="Arial"/>
          <w:i/>
          <w:iCs/>
          <w:sz w:val="24"/>
          <w:szCs w:val="24"/>
          <w:lang w:val="en-US"/>
        </w:rPr>
        <w:t>authority;</w:t>
      </w:r>
      <w:proofErr w:type="gramEnd"/>
    </w:p>
    <w:p w14:paraId="255D082C" w14:textId="77777777" w:rsidR="00FB08C6" w:rsidRPr="00E33E20" w:rsidRDefault="00FB08C6" w:rsidP="009174FD">
      <w:pPr>
        <w:autoSpaceDE w:val="0"/>
        <w:autoSpaceDN w:val="0"/>
        <w:adjustRightInd w:val="0"/>
        <w:spacing w:after="0" w:line="240" w:lineRule="auto"/>
        <w:jc w:val="both"/>
        <w:rPr>
          <w:rFonts w:ascii="Arial" w:hAnsi="Arial" w:cs="Arial"/>
          <w:i/>
          <w:iCs/>
          <w:sz w:val="24"/>
          <w:szCs w:val="24"/>
          <w:lang w:val="en-US"/>
        </w:rPr>
      </w:pPr>
      <w:r w:rsidRPr="00E33E20">
        <w:rPr>
          <w:rFonts w:ascii="Arial" w:hAnsi="Arial" w:cs="Arial"/>
          <w:i/>
          <w:iCs/>
          <w:sz w:val="24"/>
          <w:szCs w:val="24"/>
          <w:lang w:val="en-US"/>
        </w:rPr>
        <w:t xml:space="preserve">2) in administrative proceedings commenced on the initiative of an administrative authority, by notifying a participant in the proceedings of the </w:t>
      </w:r>
      <w:proofErr w:type="gramStart"/>
      <w:r w:rsidRPr="00E33E20">
        <w:rPr>
          <w:rFonts w:ascii="Arial" w:hAnsi="Arial" w:cs="Arial"/>
          <w:i/>
          <w:iCs/>
          <w:sz w:val="24"/>
          <w:szCs w:val="24"/>
          <w:lang w:val="en-US"/>
        </w:rPr>
        <w:t>proceedings;</w:t>
      </w:r>
      <w:proofErr w:type="gramEnd"/>
    </w:p>
    <w:p w14:paraId="7D0F454A" w14:textId="77777777" w:rsidR="00FB08C6" w:rsidRPr="00E33E20" w:rsidRDefault="00FB08C6" w:rsidP="009174FD">
      <w:pPr>
        <w:autoSpaceDE w:val="0"/>
        <w:autoSpaceDN w:val="0"/>
        <w:adjustRightInd w:val="0"/>
        <w:spacing w:after="0" w:line="240" w:lineRule="auto"/>
        <w:jc w:val="both"/>
        <w:rPr>
          <w:rFonts w:ascii="Arial" w:hAnsi="Arial" w:cs="Arial"/>
          <w:i/>
          <w:iCs/>
          <w:sz w:val="24"/>
          <w:szCs w:val="24"/>
          <w:lang w:val="en-US"/>
        </w:rPr>
      </w:pPr>
      <w:r w:rsidRPr="00E33E20">
        <w:rPr>
          <w:rFonts w:ascii="Arial" w:hAnsi="Arial" w:cs="Arial"/>
          <w:i/>
          <w:iCs/>
          <w:sz w:val="24"/>
          <w:szCs w:val="24"/>
          <w:lang w:val="en-US"/>
        </w:rPr>
        <w:t xml:space="preserve">3) in administrative proceedings commenced on the initiative of an administrative authority, by the performance of the first procedural act </w:t>
      </w:r>
      <w:proofErr w:type="gramStart"/>
      <w:r w:rsidRPr="00E33E20">
        <w:rPr>
          <w:rFonts w:ascii="Arial" w:hAnsi="Arial" w:cs="Arial"/>
          <w:i/>
          <w:iCs/>
          <w:sz w:val="24"/>
          <w:szCs w:val="24"/>
          <w:lang w:val="en-US"/>
        </w:rPr>
        <w:t>with regard to</w:t>
      </w:r>
      <w:proofErr w:type="gramEnd"/>
      <w:r w:rsidRPr="00E33E20">
        <w:rPr>
          <w:rFonts w:ascii="Arial" w:hAnsi="Arial" w:cs="Arial"/>
          <w:i/>
          <w:iCs/>
          <w:sz w:val="24"/>
          <w:szCs w:val="24"/>
          <w:lang w:val="en-US"/>
        </w:rPr>
        <w:t xml:space="preserve"> a participant in the proceedings</w:t>
      </w:r>
    </w:p>
    <w:p w14:paraId="20CC9AB2" w14:textId="77777777" w:rsidR="001E6F2D" w:rsidRPr="00E33E20" w:rsidRDefault="001E6F2D" w:rsidP="009174FD">
      <w:pPr>
        <w:autoSpaceDE w:val="0"/>
        <w:autoSpaceDN w:val="0"/>
        <w:adjustRightInd w:val="0"/>
        <w:spacing w:after="0" w:line="240" w:lineRule="auto"/>
        <w:jc w:val="both"/>
        <w:rPr>
          <w:rFonts w:ascii="Arial" w:hAnsi="Arial" w:cs="Arial"/>
          <w:sz w:val="24"/>
          <w:szCs w:val="24"/>
          <w:lang w:val="en-US"/>
        </w:rPr>
      </w:pPr>
    </w:p>
    <w:p w14:paraId="00F226D1" w14:textId="4A55956E" w:rsidR="003D28BC" w:rsidRPr="00E33E20" w:rsidRDefault="003D28BC"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The labour inspector decides on the method of conducting the inspection</w:t>
      </w:r>
      <w:r w:rsidR="00E33E20">
        <w:rPr>
          <w:rFonts w:ascii="Arial" w:hAnsi="Arial" w:cs="Arial"/>
          <w:sz w:val="24"/>
          <w:szCs w:val="24"/>
          <w:lang w:val="en-US"/>
        </w:rPr>
        <w:t xml:space="preserve"> –</w:t>
      </w:r>
      <w:r w:rsidRPr="00E33E20">
        <w:rPr>
          <w:rFonts w:ascii="Arial" w:hAnsi="Arial" w:cs="Arial"/>
          <w:sz w:val="24"/>
          <w:szCs w:val="24"/>
          <w:lang w:val="en-US"/>
        </w:rPr>
        <w:t xml:space="preserve"> with or without prior notice. When starting an inspection, the principle of informing the party to the proceedings in accordance with § 35 (1) 2) of the Administrative Procedure Act is followed. In the case of an unannounced inspection, notification is made upon arrival at the site.</w:t>
      </w:r>
    </w:p>
    <w:p w14:paraId="62D7409F" w14:textId="77777777" w:rsidR="003D28BC" w:rsidRPr="00E33E20" w:rsidRDefault="003D28BC" w:rsidP="009174FD">
      <w:pPr>
        <w:autoSpaceDE w:val="0"/>
        <w:autoSpaceDN w:val="0"/>
        <w:adjustRightInd w:val="0"/>
        <w:spacing w:after="0" w:line="240" w:lineRule="auto"/>
        <w:jc w:val="both"/>
        <w:rPr>
          <w:rFonts w:ascii="Arial" w:hAnsi="Arial" w:cs="Arial"/>
          <w:sz w:val="24"/>
          <w:szCs w:val="24"/>
          <w:lang w:val="en-US"/>
        </w:rPr>
      </w:pPr>
    </w:p>
    <w:p w14:paraId="64C7DCEA" w14:textId="2C4540FA" w:rsidR="003D28BC" w:rsidRPr="00E33E20" w:rsidRDefault="00E33E20" w:rsidP="009174FD">
      <w:pPr>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Law also</w:t>
      </w:r>
      <w:r w:rsidR="003D28BC" w:rsidRPr="00E33E20">
        <w:rPr>
          <w:rFonts w:ascii="Arial" w:hAnsi="Arial" w:cs="Arial"/>
          <w:sz w:val="24"/>
          <w:szCs w:val="24"/>
          <w:lang w:val="en-US"/>
        </w:rPr>
        <w:t xml:space="preserve"> stipulate</w:t>
      </w:r>
      <w:r>
        <w:rPr>
          <w:rFonts w:ascii="Arial" w:hAnsi="Arial" w:cs="Arial"/>
          <w:sz w:val="24"/>
          <w:szCs w:val="24"/>
          <w:lang w:val="en-US"/>
        </w:rPr>
        <w:t>s</w:t>
      </w:r>
      <w:r w:rsidR="003D28BC" w:rsidRPr="00E33E20">
        <w:rPr>
          <w:rFonts w:ascii="Arial" w:hAnsi="Arial" w:cs="Arial"/>
          <w:sz w:val="24"/>
          <w:szCs w:val="24"/>
          <w:lang w:val="en-US"/>
        </w:rPr>
        <w:t xml:space="preserve"> exceptions when prior notice is not needed:</w:t>
      </w:r>
    </w:p>
    <w:p w14:paraId="792185CE" w14:textId="77777777" w:rsidR="001E6F2D" w:rsidRPr="00E33E20" w:rsidRDefault="001E6F2D" w:rsidP="009174FD">
      <w:pPr>
        <w:autoSpaceDE w:val="0"/>
        <w:autoSpaceDN w:val="0"/>
        <w:adjustRightInd w:val="0"/>
        <w:spacing w:after="0" w:line="240" w:lineRule="auto"/>
        <w:jc w:val="both"/>
        <w:rPr>
          <w:rFonts w:ascii="Arial" w:hAnsi="Arial" w:cs="Arial"/>
          <w:sz w:val="24"/>
          <w:szCs w:val="24"/>
          <w:lang w:val="en-US"/>
        </w:rPr>
      </w:pPr>
    </w:p>
    <w:p w14:paraId="6FD847BE" w14:textId="1C550005" w:rsidR="00531D1F" w:rsidRPr="00E33E20" w:rsidRDefault="00DC53D0"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Administrative Procedure Act</w:t>
      </w:r>
      <w:r w:rsidR="00E33E20">
        <w:rPr>
          <w:rFonts w:ascii="Arial" w:hAnsi="Arial" w:cs="Arial"/>
          <w:sz w:val="24"/>
          <w:szCs w:val="24"/>
          <w:lang w:val="en-US"/>
        </w:rPr>
        <w:t>,</w:t>
      </w:r>
      <w:r w:rsidRPr="00E33E20">
        <w:rPr>
          <w:rFonts w:ascii="Arial" w:hAnsi="Arial" w:cs="Arial"/>
          <w:sz w:val="24"/>
          <w:szCs w:val="24"/>
          <w:lang w:val="en-US"/>
        </w:rPr>
        <w:t xml:space="preserve"> § 40</w:t>
      </w:r>
      <w:r w:rsidR="00E33E20">
        <w:rPr>
          <w:rFonts w:ascii="Arial" w:hAnsi="Arial" w:cs="Arial"/>
          <w:sz w:val="24"/>
          <w:szCs w:val="24"/>
          <w:lang w:val="en-US"/>
        </w:rPr>
        <w:t xml:space="preserve">. </w:t>
      </w:r>
      <w:r w:rsidR="00E33E20" w:rsidRPr="00E33E20">
        <w:rPr>
          <w:rFonts w:ascii="Arial" w:hAnsi="Arial" w:cs="Arial"/>
          <w:sz w:val="24"/>
          <w:szCs w:val="24"/>
          <w:lang w:val="en-US"/>
        </w:rPr>
        <w:t>Hearing of opinions and objections of participants in proceedings</w:t>
      </w:r>
    </w:p>
    <w:p w14:paraId="1762B64D" w14:textId="77777777" w:rsidR="00531D1F" w:rsidRPr="00E33E20" w:rsidRDefault="00531D1F" w:rsidP="009174FD">
      <w:pPr>
        <w:autoSpaceDE w:val="0"/>
        <w:autoSpaceDN w:val="0"/>
        <w:adjustRightInd w:val="0"/>
        <w:spacing w:after="0" w:line="240" w:lineRule="auto"/>
        <w:jc w:val="both"/>
        <w:rPr>
          <w:rFonts w:ascii="Arial" w:hAnsi="Arial" w:cs="Arial"/>
          <w:sz w:val="24"/>
          <w:szCs w:val="24"/>
          <w:lang w:val="en-US"/>
        </w:rPr>
      </w:pPr>
    </w:p>
    <w:p w14:paraId="0F256937" w14:textId="03EE79D1" w:rsidR="001E6F2D" w:rsidRPr="00E33E20" w:rsidRDefault="00531D1F" w:rsidP="009174FD">
      <w:pPr>
        <w:autoSpaceDE w:val="0"/>
        <w:autoSpaceDN w:val="0"/>
        <w:adjustRightInd w:val="0"/>
        <w:spacing w:after="0" w:line="240" w:lineRule="auto"/>
        <w:jc w:val="both"/>
        <w:rPr>
          <w:rFonts w:ascii="Arial" w:hAnsi="Arial" w:cs="Arial"/>
          <w:i/>
          <w:iCs/>
          <w:sz w:val="24"/>
          <w:szCs w:val="24"/>
          <w:lang w:val="en-US"/>
        </w:rPr>
      </w:pPr>
      <w:r w:rsidRPr="00E33E20">
        <w:rPr>
          <w:rFonts w:ascii="Arial" w:hAnsi="Arial" w:cs="Arial"/>
          <w:i/>
          <w:iCs/>
          <w:sz w:val="24"/>
          <w:szCs w:val="24"/>
          <w:lang w:val="en-US"/>
        </w:rPr>
        <w:t xml:space="preserve">(3) </w:t>
      </w:r>
      <w:r w:rsidR="00DC53D0" w:rsidRPr="00E33E20">
        <w:rPr>
          <w:rFonts w:ascii="Arial" w:hAnsi="Arial" w:cs="Arial"/>
          <w:i/>
          <w:iCs/>
          <w:sz w:val="24"/>
          <w:szCs w:val="24"/>
          <w:lang w:val="en-US"/>
        </w:rPr>
        <w:t>An administrative proceeding may be conducted without hearing the opinions and objections of a participant in the proceeding in the following cases:</w:t>
      </w:r>
    </w:p>
    <w:p w14:paraId="1EB2D197" w14:textId="548B04B2" w:rsidR="00E33E20" w:rsidRDefault="00131740" w:rsidP="009174FD">
      <w:pPr>
        <w:autoSpaceDE w:val="0"/>
        <w:autoSpaceDN w:val="0"/>
        <w:adjustRightInd w:val="0"/>
        <w:spacing w:after="0" w:line="240" w:lineRule="auto"/>
        <w:jc w:val="both"/>
        <w:rPr>
          <w:rFonts w:ascii="Arial" w:hAnsi="Arial" w:cs="Arial"/>
          <w:i/>
          <w:iCs/>
          <w:sz w:val="24"/>
          <w:szCs w:val="24"/>
          <w:lang w:val="en-US"/>
        </w:rPr>
      </w:pPr>
      <w:r w:rsidRPr="00E33E20">
        <w:rPr>
          <w:rFonts w:ascii="Arial" w:hAnsi="Arial" w:cs="Arial"/>
          <w:i/>
          <w:iCs/>
          <w:sz w:val="24"/>
          <w:szCs w:val="24"/>
          <w:lang w:val="en-US"/>
        </w:rPr>
        <w:t>1) if prompt action is</w:t>
      </w:r>
      <w:r w:rsidR="00E33E20">
        <w:rPr>
          <w:rFonts w:ascii="Arial" w:hAnsi="Arial" w:cs="Arial"/>
          <w:i/>
          <w:iCs/>
          <w:sz w:val="24"/>
          <w:szCs w:val="24"/>
          <w:lang w:val="en-US"/>
        </w:rPr>
        <w:t xml:space="preserve"> </w:t>
      </w:r>
      <w:r w:rsidRPr="00E33E20">
        <w:rPr>
          <w:rFonts w:ascii="Arial" w:hAnsi="Arial" w:cs="Arial"/>
          <w:i/>
          <w:iCs/>
          <w:sz w:val="24"/>
          <w:szCs w:val="24"/>
          <w:lang w:val="en-US"/>
        </w:rPr>
        <w:t>required for prevention of damage arising from delay or for the protection of</w:t>
      </w:r>
      <w:r w:rsidR="00E33E20">
        <w:rPr>
          <w:rFonts w:ascii="Arial" w:hAnsi="Arial" w:cs="Arial"/>
          <w:i/>
          <w:iCs/>
          <w:sz w:val="24"/>
          <w:szCs w:val="24"/>
          <w:lang w:val="en-US"/>
        </w:rPr>
        <w:t xml:space="preserve"> </w:t>
      </w:r>
      <w:r w:rsidRPr="00E33E20">
        <w:rPr>
          <w:rFonts w:ascii="Arial" w:hAnsi="Arial" w:cs="Arial"/>
          <w:i/>
          <w:iCs/>
          <w:sz w:val="24"/>
          <w:szCs w:val="24"/>
          <w:lang w:val="en-US"/>
        </w:rPr>
        <w:t xml:space="preserve">public </w:t>
      </w:r>
      <w:proofErr w:type="gramStart"/>
      <w:r w:rsidRPr="00E33E20">
        <w:rPr>
          <w:rFonts w:ascii="Arial" w:hAnsi="Arial" w:cs="Arial"/>
          <w:i/>
          <w:iCs/>
          <w:sz w:val="24"/>
          <w:szCs w:val="24"/>
          <w:lang w:val="en-US"/>
        </w:rPr>
        <w:t>interests;</w:t>
      </w:r>
      <w:proofErr w:type="gramEnd"/>
      <w:r w:rsidR="00C06141" w:rsidRPr="00E33E20">
        <w:rPr>
          <w:rFonts w:ascii="Arial" w:hAnsi="Arial" w:cs="Arial"/>
          <w:i/>
          <w:iCs/>
          <w:sz w:val="24"/>
          <w:szCs w:val="24"/>
          <w:lang w:val="en-US"/>
        </w:rPr>
        <w:t xml:space="preserve"> </w:t>
      </w:r>
    </w:p>
    <w:p w14:paraId="781171E9" w14:textId="2B560962" w:rsidR="00131740" w:rsidRPr="00E33E20" w:rsidRDefault="00C06141" w:rsidP="009174FD">
      <w:pPr>
        <w:autoSpaceDE w:val="0"/>
        <w:autoSpaceDN w:val="0"/>
        <w:adjustRightInd w:val="0"/>
        <w:spacing w:after="0" w:line="240" w:lineRule="auto"/>
        <w:jc w:val="both"/>
        <w:rPr>
          <w:rFonts w:ascii="Arial" w:hAnsi="Arial" w:cs="Arial"/>
          <w:i/>
          <w:iCs/>
          <w:sz w:val="24"/>
          <w:szCs w:val="24"/>
          <w:lang w:val="en-US"/>
        </w:rPr>
      </w:pPr>
      <w:r w:rsidRPr="00E33E20">
        <w:rPr>
          <w:rFonts w:ascii="Arial" w:hAnsi="Arial" w:cs="Arial"/>
          <w:i/>
          <w:iCs/>
          <w:sz w:val="24"/>
          <w:szCs w:val="24"/>
          <w:lang w:val="en-US"/>
        </w:rPr>
        <w:t>/…/</w:t>
      </w:r>
    </w:p>
    <w:p w14:paraId="7CFA1501" w14:textId="21CBEB37" w:rsidR="00AE7FFA" w:rsidRPr="00E33E20" w:rsidRDefault="00AE7FFA" w:rsidP="009174FD">
      <w:pPr>
        <w:autoSpaceDE w:val="0"/>
        <w:autoSpaceDN w:val="0"/>
        <w:adjustRightInd w:val="0"/>
        <w:spacing w:after="0" w:line="240" w:lineRule="auto"/>
        <w:jc w:val="both"/>
        <w:rPr>
          <w:rFonts w:ascii="Arial" w:hAnsi="Arial" w:cs="Arial"/>
          <w:i/>
          <w:iCs/>
          <w:sz w:val="24"/>
          <w:szCs w:val="24"/>
          <w:lang w:val="en-US"/>
        </w:rPr>
      </w:pPr>
      <w:r w:rsidRPr="00E33E20">
        <w:rPr>
          <w:rFonts w:ascii="Arial" w:hAnsi="Arial" w:cs="Arial"/>
          <w:i/>
          <w:iCs/>
          <w:sz w:val="24"/>
          <w:szCs w:val="24"/>
          <w:lang w:val="en-US"/>
        </w:rPr>
        <w:t>4) if notification of</w:t>
      </w:r>
      <w:r w:rsidR="00E33E20">
        <w:rPr>
          <w:rFonts w:ascii="Arial" w:hAnsi="Arial" w:cs="Arial"/>
          <w:i/>
          <w:iCs/>
          <w:sz w:val="24"/>
          <w:szCs w:val="24"/>
          <w:lang w:val="en-US"/>
        </w:rPr>
        <w:t xml:space="preserve"> </w:t>
      </w:r>
      <w:r w:rsidRPr="00E33E20">
        <w:rPr>
          <w:rFonts w:ascii="Arial" w:hAnsi="Arial" w:cs="Arial"/>
          <w:i/>
          <w:iCs/>
          <w:sz w:val="24"/>
          <w:szCs w:val="24"/>
          <w:lang w:val="en-US"/>
        </w:rPr>
        <w:t>the administrative decision or measure, which is necessary to allow submission</w:t>
      </w:r>
      <w:r w:rsidR="00E33E20">
        <w:rPr>
          <w:rFonts w:ascii="Arial" w:hAnsi="Arial" w:cs="Arial"/>
          <w:i/>
          <w:iCs/>
          <w:sz w:val="24"/>
          <w:szCs w:val="24"/>
          <w:lang w:val="en-US"/>
        </w:rPr>
        <w:t xml:space="preserve"> </w:t>
      </w:r>
      <w:r w:rsidRPr="00E33E20">
        <w:rPr>
          <w:rFonts w:ascii="Arial" w:hAnsi="Arial" w:cs="Arial"/>
          <w:i/>
          <w:iCs/>
          <w:sz w:val="24"/>
          <w:szCs w:val="24"/>
          <w:lang w:val="en-US"/>
        </w:rPr>
        <w:t>of opinions or objections, does not enable achievement of the purpose of the</w:t>
      </w:r>
      <w:r w:rsidR="00E33E20">
        <w:rPr>
          <w:rFonts w:ascii="Arial" w:hAnsi="Arial" w:cs="Arial"/>
          <w:i/>
          <w:iCs/>
          <w:sz w:val="24"/>
          <w:szCs w:val="24"/>
          <w:lang w:val="en-US"/>
        </w:rPr>
        <w:t xml:space="preserve"> </w:t>
      </w:r>
      <w:r w:rsidRPr="00E33E20">
        <w:rPr>
          <w:rFonts w:ascii="Arial" w:hAnsi="Arial" w:cs="Arial"/>
          <w:i/>
          <w:iCs/>
          <w:sz w:val="24"/>
          <w:szCs w:val="24"/>
          <w:lang w:val="en-US"/>
        </w:rPr>
        <w:t>administrative decision or measure</w:t>
      </w:r>
      <w:r w:rsidR="00F57D9C" w:rsidRPr="00E33E20">
        <w:rPr>
          <w:rFonts w:ascii="Arial" w:hAnsi="Arial" w:cs="Arial"/>
          <w:i/>
          <w:iCs/>
          <w:sz w:val="24"/>
          <w:szCs w:val="24"/>
          <w:lang w:val="en-US"/>
        </w:rPr>
        <w:t>.</w:t>
      </w:r>
    </w:p>
    <w:p w14:paraId="68DCE73B" w14:textId="77777777" w:rsidR="001E6F2D" w:rsidRPr="00E33E20" w:rsidRDefault="001E6F2D" w:rsidP="009174FD">
      <w:pPr>
        <w:autoSpaceDE w:val="0"/>
        <w:autoSpaceDN w:val="0"/>
        <w:adjustRightInd w:val="0"/>
        <w:spacing w:after="0" w:line="240" w:lineRule="auto"/>
        <w:jc w:val="both"/>
        <w:rPr>
          <w:rFonts w:ascii="Arial" w:hAnsi="Arial" w:cs="Arial"/>
          <w:sz w:val="24"/>
          <w:szCs w:val="24"/>
          <w:lang w:val="en-US"/>
        </w:rPr>
      </w:pPr>
    </w:p>
    <w:p w14:paraId="06C899CB" w14:textId="23BC6AD5" w:rsidR="00CA0F88" w:rsidRPr="00E33E20" w:rsidRDefault="00CA0F88"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There is no possibility to statistically distinguish whether more violations have been detected, for example, during unannounced inspections</w:t>
      </w:r>
      <w:r w:rsidR="00E33E20">
        <w:rPr>
          <w:rFonts w:ascii="Arial" w:hAnsi="Arial" w:cs="Arial"/>
          <w:sz w:val="24"/>
          <w:szCs w:val="24"/>
          <w:lang w:val="en-US"/>
        </w:rPr>
        <w:t>. A</w:t>
      </w:r>
      <w:r w:rsidRPr="00E33E20">
        <w:rPr>
          <w:rFonts w:ascii="Arial" w:hAnsi="Arial" w:cs="Arial"/>
          <w:sz w:val="24"/>
          <w:szCs w:val="24"/>
          <w:lang w:val="en-US"/>
        </w:rPr>
        <w:t>lthough we can distinguish the number of violations between announced and unannounced inspections, this would not be comparable, as it does not allow us to conclude that the number of violations detected depended solely on the selected inspection method.</w:t>
      </w:r>
    </w:p>
    <w:p w14:paraId="06F772C8" w14:textId="77777777" w:rsidR="00CA0F88" w:rsidRPr="00E33E20" w:rsidRDefault="00CA0F88" w:rsidP="009174FD">
      <w:pPr>
        <w:autoSpaceDE w:val="0"/>
        <w:autoSpaceDN w:val="0"/>
        <w:adjustRightInd w:val="0"/>
        <w:spacing w:after="0" w:line="240" w:lineRule="auto"/>
        <w:jc w:val="both"/>
        <w:rPr>
          <w:rFonts w:ascii="Arial" w:hAnsi="Arial" w:cs="Arial"/>
          <w:sz w:val="24"/>
          <w:szCs w:val="24"/>
          <w:lang w:val="en-US"/>
        </w:rPr>
      </w:pPr>
    </w:p>
    <w:p w14:paraId="69F02314" w14:textId="2FEE90A5" w:rsidR="0041256B" w:rsidRPr="00E33E20" w:rsidRDefault="00CA0F88"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 xml:space="preserve">The internal regulations stipulate that in </w:t>
      </w:r>
      <w:proofErr w:type="gramStart"/>
      <w:r w:rsidRPr="00E33E20">
        <w:rPr>
          <w:rFonts w:ascii="Arial" w:hAnsi="Arial" w:cs="Arial"/>
          <w:sz w:val="24"/>
          <w:szCs w:val="24"/>
          <w:lang w:val="en-US"/>
        </w:rPr>
        <w:t>case</w:t>
      </w:r>
      <w:proofErr w:type="gramEnd"/>
      <w:r w:rsidRPr="00E33E20">
        <w:rPr>
          <w:rFonts w:ascii="Arial" w:hAnsi="Arial" w:cs="Arial"/>
          <w:sz w:val="24"/>
          <w:szCs w:val="24"/>
          <w:lang w:val="en-US"/>
        </w:rPr>
        <w:t xml:space="preserve"> of tips </w:t>
      </w:r>
      <w:r w:rsidR="00DD05E0">
        <w:rPr>
          <w:rFonts w:ascii="Arial" w:hAnsi="Arial" w:cs="Arial"/>
          <w:sz w:val="24"/>
          <w:szCs w:val="24"/>
          <w:lang w:val="en-US"/>
        </w:rPr>
        <w:t>regarding</w:t>
      </w:r>
      <w:r w:rsidRPr="00E33E20">
        <w:rPr>
          <w:rFonts w:ascii="Arial" w:hAnsi="Arial" w:cs="Arial"/>
          <w:sz w:val="24"/>
          <w:szCs w:val="24"/>
          <w:lang w:val="en-US"/>
        </w:rPr>
        <w:t xml:space="preserve"> foreign labor, we conduct unannounced inspections, as well if there is suspicion of labor exploitation. However, it depends very much on different factors, such as, the content of the tip, when the company was last inspected, what was identified, whether there is a risk analysis done, whether representatives have been appointed in the self-service of the Labour Inspectorate (TEIS), whether there have been previous tips, whether there have been registered occupational diseases, etc. </w:t>
      </w:r>
    </w:p>
    <w:p w14:paraId="63FCED55" w14:textId="77777777" w:rsidR="0041256B" w:rsidRPr="00E33E20" w:rsidRDefault="0041256B" w:rsidP="009174FD">
      <w:pPr>
        <w:autoSpaceDE w:val="0"/>
        <w:autoSpaceDN w:val="0"/>
        <w:adjustRightInd w:val="0"/>
        <w:spacing w:after="0" w:line="240" w:lineRule="auto"/>
        <w:jc w:val="both"/>
        <w:rPr>
          <w:rFonts w:ascii="Arial" w:hAnsi="Arial" w:cs="Arial"/>
          <w:sz w:val="24"/>
          <w:szCs w:val="24"/>
          <w:lang w:val="en-US"/>
        </w:rPr>
      </w:pPr>
    </w:p>
    <w:p w14:paraId="1CE5C803" w14:textId="1D6DA155" w:rsidR="001E6F2D" w:rsidRPr="00E33E20" w:rsidRDefault="0041256B" w:rsidP="009174FD">
      <w:pPr>
        <w:autoSpaceDE w:val="0"/>
        <w:autoSpaceDN w:val="0"/>
        <w:adjustRightInd w:val="0"/>
        <w:spacing w:after="0" w:line="240" w:lineRule="auto"/>
        <w:jc w:val="both"/>
        <w:rPr>
          <w:rFonts w:ascii="Arial" w:hAnsi="Arial" w:cs="Arial"/>
          <w:b/>
          <w:bCs/>
          <w:sz w:val="24"/>
          <w:szCs w:val="24"/>
          <w:lang w:val="en-US"/>
        </w:rPr>
      </w:pPr>
      <w:r w:rsidRPr="00E33E20">
        <w:rPr>
          <w:rFonts w:ascii="Arial" w:hAnsi="Arial" w:cs="Arial"/>
          <w:b/>
          <w:bCs/>
          <w:sz w:val="24"/>
          <w:szCs w:val="24"/>
          <w:lang w:val="en-US"/>
        </w:rPr>
        <w:t>Occupational accidents and diseases</w:t>
      </w:r>
    </w:p>
    <w:p w14:paraId="41725421" w14:textId="77777777" w:rsidR="00B22242" w:rsidRPr="00E33E20" w:rsidRDefault="00B22242" w:rsidP="009174FD">
      <w:pPr>
        <w:autoSpaceDE w:val="0"/>
        <w:autoSpaceDN w:val="0"/>
        <w:adjustRightInd w:val="0"/>
        <w:spacing w:after="0" w:line="240" w:lineRule="auto"/>
        <w:jc w:val="both"/>
        <w:rPr>
          <w:rFonts w:ascii="Arial" w:hAnsi="Arial" w:cs="Arial"/>
          <w:sz w:val="24"/>
          <w:szCs w:val="24"/>
          <w:lang w:val="en-US"/>
        </w:rPr>
      </w:pPr>
    </w:p>
    <w:p w14:paraId="7C5DC261" w14:textId="77777777" w:rsidR="00C173FE" w:rsidRPr="00E33E20" w:rsidRDefault="00C173FE"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 xml:space="preserve">To improve the level of awareness of both employers and employees concerning the importance of reporting occupational accidents and cases of occupational diseases the Labour Inspectorate provides legal consultation free of charge to employees and employers, by phone or by email and organizes information days and trainings. For example, the Labour Inspectorate organizes </w:t>
      </w:r>
      <w:proofErr w:type="gramStart"/>
      <w:r w:rsidRPr="00E33E20">
        <w:rPr>
          <w:rFonts w:ascii="Arial" w:hAnsi="Arial" w:cs="Arial"/>
          <w:sz w:val="24"/>
          <w:szCs w:val="24"/>
          <w:lang w:val="en-US"/>
        </w:rPr>
        <w:t>a two</w:t>
      </w:r>
      <w:proofErr w:type="gramEnd"/>
      <w:r w:rsidRPr="00E33E20">
        <w:rPr>
          <w:rFonts w:ascii="Arial" w:hAnsi="Arial" w:cs="Arial"/>
          <w:sz w:val="24"/>
          <w:szCs w:val="24"/>
          <w:lang w:val="en-US"/>
        </w:rPr>
        <w:t>-day training for working environment specialists where everything related to the organization of the work environment (including investigations of occupational accidents and occupational diseases) is covered.</w:t>
      </w:r>
    </w:p>
    <w:p w14:paraId="0D02F8E1" w14:textId="77777777" w:rsidR="00B22242" w:rsidRPr="00E33E20" w:rsidRDefault="00B22242" w:rsidP="009174FD">
      <w:pPr>
        <w:autoSpaceDE w:val="0"/>
        <w:autoSpaceDN w:val="0"/>
        <w:adjustRightInd w:val="0"/>
        <w:spacing w:after="0" w:line="240" w:lineRule="auto"/>
        <w:jc w:val="both"/>
        <w:rPr>
          <w:rFonts w:ascii="Arial" w:hAnsi="Arial" w:cs="Arial"/>
          <w:sz w:val="24"/>
          <w:szCs w:val="24"/>
          <w:lang w:val="en-US"/>
        </w:rPr>
      </w:pPr>
    </w:p>
    <w:p w14:paraId="3D829CE9" w14:textId="4A47629D" w:rsidR="0070763C" w:rsidRPr="00E33E20" w:rsidRDefault="0070763C"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Also, the Labour Inspectorate has done different campaigns and exhibitions to raise awareness on this topic. For example, an exhibition, which entails work environment hazards and occupational accidents, was done in shopping malls. One of the parts of the exhibition included black helmets, equal to the number of deaths due to occupational accidents in 2024.</w:t>
      </w:r>
    </w:p>
    <w:p w14:paraId="7EB7E7C1" w14:textId="77777777" w:rsidR="0070763C" w:rsidRPr="00E33E20" w:rsidRDefault="0070763C" w:rsidP="009174FD">
      <w:pPr>
        <w:autoSpaceDE w:val="0"/>
        <w:autoSpaceDN w:val="0"/>
        <w:adjustRightInd w:val="0"/>
        <w:spacing w:after="0" w:line="240" w:lineRule="auto"/>
        <w:jc w:val="both"/>
        <w:rPr>
          <w:rFonts w:ascii="Arial" w:hAnsi="Arial" w:cs="Arial"/>
          <w:sz w:val="24"/>
          <w:szCs w:val="24"/>
          <w:lang w:val="en-US"/>
        </w:rPr>
      </w:pPr>
    </w:p>
    <w:p w14:paraId="56CA73EE" w14:textId="35C15314" w:rsidR="0070763C" w:rsidRPr="00E33E20" w:rsidRDefault="0070763C"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 xml:space="preserve">Besides that, the Labour Inspectorate publishes instructions and relevant information, such as what is an occupational accident and occupational disease, what to do in case of an occupational accident, how to conduct investigations of occupational </w:t>
      </w:r>
      <w:proofErr w:type="gramStart"/>
      <w:r w:rsidRPr="00E33E20">
        <w:rPr>
          <w:rFonts w:ascii="Arial" w:hAnsi="Arial" w:cs="Arial"/>
          <w:sz w:val="24"/>
          <w:szCs w:val="24"/>
          <w:lang w:val="en-US"/>
        </w:rPr>
        <w:t>accidents  and</w:t>
      </w:r>
      <w:proofErr w:type="gramEnd"/>
      <w:r w:rsidRPr="00E33E20">
        <w:rPr>
          <w:rFonts w:ascii="Arial" w:hAnsi="Arial" w:cs="Arial"/>
          <w:sz w:val="24"/>
          <w:szCs w:val="24"/>
          <w:lang w:val="en-US"/>
        </w:rPr>
        <w:t xml:space="preserve"> occupational diseases, </w:t>
      </w:r>
      <w:r w:rsidR="00E33E20" w:rsidRPr="00E33E20">
        <w:rPr>
          <w:rFonts w:ascii="Arial" w:hAnsi="Arial" w:cs="Arial"/>
          <w:sz w:val="24"/>
          <w:szCs w:val="24"/>
          <w:lang w:val="en-US"/>
        </w:rPr>
        <w:t>compensation</w:t>
      </w:r>
      <w:r w:rsidRPr="00E33E20">
        <w:rPr>
          <w:rFonts w:ascii="Arial" w:hAnsi="Arial" w:cs="Arial"/>
          <w:sz w:val="24"/>
          <w:szCs w:val="24"/>
          <w:lang w:val="en-US"/>
        </w:rPr>
        <w:t xml:space="preserve"> in case of occupational accidents and occupational diseases etc.</w:t>
      </w:r>
    </w:p>
    <w:p w14:paraId="2D5BB581" w14:textId="77777777" w:rsidR="00C173FE" w:rsidRPr="00E33E20" w:rsidRDefault="00C173FE" w:rsidP="009174FD">
      <w:pPr>
        <w:autoSpaceDE w:val="0"/>
        <w:autoSpaceDN w:val="0"/>
        <w:adjustRightInd w:val="0"/>
        <w:spacing w:after="0" w:line="240" w:lineRule="auto"/>
        <w:jc w:val="both"/>
        <w:rPr>
          <w:rFonts w:ascii="Arial" w:hAnsi="Arial" w:cs="Arial"/>
          <w:sz w:val="24"/>
          <w:szCs w:val="24"/>
          <w:lang w:val="en-US"/>
        </w:rPr>
      </w:pPr>
    </w:p>
    <w:p w14:paraId="16A3ADEE" w14:textId="77777777" w:rsidR="009F5F56" w:rsidRPr="00E33E20" w:rsidRDefault="009F5F56"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 xml:space="preserve">The Labor Inspectorate also provides </w:t>
      </w:r>
      <w:proofErr w:type="gramStart"/>
      <w:r w:rsidRPr="00E33E20">
        <w:rPr>
          <w:rFonts w:ascii="Arial" w:hAnsi="Arial" w:cs="Arial"/>
          <w:sz w:val="24"/>
          <w:szCs w:val="24"/>
          <w:lang w:val="en-US"/>
        </w:rPr>
        <w:t>free</w:t>
      </w:r>
      <w:proofErr w:type="gramEnd"/>
      <w:r w:rsidRPr="00E33E20">
        <w:rPr>
          <w:rFonts w:ascii="Arial" w:hAnsi="Arial" w:cs="Arial"/>
          <w:sz w:val="24"/>
          <w:szCs w:val="24"/>
          <w:lang w:val="en-US"/>
        </w:rPr>
        <w:t xml:space="preserve"> consultation service to companies. The consultation service is mainly divided into three parts: consultation on work environment, labor relations, and mental health. Workplace consultants consult on occupational health and safety issues, make proposals and provide recommendations for creating or improving a functioning occupational health and safety system. The consultant advises the employer on creating a workplace management system, rather than looking for individual shortcomings in the workplace. The consultant can be invited to consult both for general company consultations, which include the entire workplace and documentation, and for consultations in one specific area of the workplace (e.g. the use of personal protective equipment, the organization of instructions and training, investigation of occupational diseases and accidents etc.).</w:t>
      </w:r>
    </w:p>
    <w:p w14:paraId="521EEE77" w14:textId="77777777" w:rsidR="009F5F56" w:rsidRPr="00E33E20" w:rsidRDefault="009F5F56" w:rsidP="009174FD">
      <w:pPr>
        <w:autoSpaceDE w:val="0"/>
        <w:autoSpaceDN w:val="0"/>
        <w:adjustRightInd w:val="0"/>
        <w:spacing w:after="0" w:line="240" w:lineRule="auto"/>
        <w:jc w:val="both"/>
        <w:rPr>
          <w:rFonts w:ascii="Arial" w:hAnsi="Arial" w:cs="Arial"/>
          <w:sz w:val="24"/>
          <w:szCs w:val="24"/>
          <w:lang w:val="en-US"/>
        </w:rPr>
      </w:pPr>
    </w:p>
    <w:p w14:paraId="20543A89" w14:textId="2049D5C6" w:rsidR="009F5F56" w:rsidRPr="00E33E20" w:rsidRDefault="009F5F56"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 xml:space="preserve">Besides that, we also publish </w:t>
      </w:r>
      <w:r w:rsidR="00E33E20" w:rsidRPr="00E33E20">
        <w:rPr>
          <w:rFonts w:ascii="Arial" w:hAnsi="Arial" w:cs="Arial"/>
          <w:sz w:val="24"/>
          <w:szCs w:val="24"/>
          <w:lang w:val="en-US"/>
        </w:rPr>
        <w:t>statistics about</w:t>
      </w:r>
      <w:r w:rsidRPr="00E33E20">
        <w:rPr>
          <w:rFonts w:ascii="Arial" w:hAnsi="Arial" w:cs="Arial"/>
          <w:sz w:val="24"/>
          <w:szCs w:val="24"/>
          <w:lang w:val="en-US"/>
        </w:rPr>
        <w:t xml:space="preserve"> occupational diseases and accidents.</w:t>
      </w:r>
    </w:p>
    <w:p w14:paraId="30549DD4" w14:textId="77777777" w:rsidR="004378FF" w:rsidRPr="00E33E20" w:rsidRDefault="004378FF" w:rsidP="009174FD">
      <w:pPr>
        <w:autoSpaceDE w:val="0"/>
        <w:autoSpaceDN w:val="0"/>
        <w:adjustRightInd w:val="0"/>
        <w:spacing w:after="0" w:line="240" w:lineRule="auto"/>
        <w:jc w:val="both"/>
        <w:rPr>
          <w:rFonts w:ascii="Arial" w:hAnsi="Arial" w:cs="Arial"/>
          <w:sz w:val="24"/>
          <w:szCs w:val="24"/>
          <w:lang w:val="en-US"/>
        </w:rPr>
      </w:pPr>
    </w:p>
    <w:p w14:paraId="4269FB50" w14:textId="4363FBD0" w:rsidR="00980F1E" w:rsidRDefault="00980F1E" w:rsidP="00980F1E">
      <w:pPr>
        <w:autoSpaceDE w:val="0"/>
        <w:autoSpaceDN w:val="0"/>
        <w:adjustRightInd w:val="0"/>
        <w:spacing w:after="0" w:line="240" w:lineRule="auto"/>
        <w:jc w:val="both"/>
        <w:rPr>
          <w:rFonts w:ascii="Arial" w:hAnsi="Arial" w:cs="Arial"/>
          <w:sz w:val="24"/>
          <w:szCs w:val="24"/>
          <w:highlight w:val="yellow"/>
          <w:lang w:val="en-US"/>
        </w:rPr>
      </w:pPr>
      <w:r w:rsidRPr="00980F1E">
        <w:rPr>
          <w:rFonts w:ascii="Arial" w:hAnsi="Arial" w:cs="Arial"/>
          <w:sz w:val="24"/>
          <w:szCs w:val="24"/>
          <w:lang w:val="en-US"/>
        </w:rPr>
        <w:t xml:space="preserve">According to the amendments made to the </w:t>
      </w:r>
      <w:hyperlink r:id="rId23" w:history="1">
        <w:r w:rsidR="00B10804" w:rsidRPr="00B10804">
          <w:rPr>
            <w:rStyle w:val="Hperlink"/>
            <w:rFonts w:ascii="Arial" w:hAnsi="Arial" w:cs="Arial"/>
            <w:sz w:val="24"/>
            <w:szCs w:val="24"/>
            <w:lang w:val="en-US"/>
          </w:rPr>
          <w:t>Occupational Safety and Health Act</w:t>
        </w:r>
      </w:hyperlink>
      <w:r w:rsidR="00B10804" w:rsidRPr="00B10804">
        <w:rPr>
          <w:rFonts w:ascii="Arial" w:hAnsi="Arial" w:cs="Arial"/>
          <w:sz w:val="24"/>
          <w:szCs w:val="24"/>
          <w:lang w:val="en-US"/>
        </w:rPr>
        <w:t xml:space="preserve"> </w:t>
      </w:r>
      <w:r w:rsidRPr="00980F1E">
        <w:rPr>
          <w:rFonts w:ascii="Arial" w:hAnsi="Arial" w:cs="Arial"/>
          <w:sz w:val="24"/>
          <w:szCs w:val="24"/>
          <w:lang w:val="en-US"/>
        </w:rPr>
        <w:t xml:space="preserve">in 2019, occupational accidents that resulted in temporary incapacity for work or death must be reported to the Labour Inspectorate. All other accidents must be investigated and registered by the employer. The amendments of the OSH Act have not had an impact on the level of reporting which remains the same since 2019. According to Statistics Estonia, about 58-59% of all accidents are being reported. It is important to continue to raise awareness of the importance of reporting and investigating occupational accidents </w:t>
      </w:r>
      <w:proofErr w:type="gramStart"/>
      <w:r w:rsidRPr="00980F1E">
        <w:rPr>
          <w:rFonts w:ascii="Arial" w:hAnsi="Arial" w:cs="Arial"/>
          <w:sz w:val="24"/>
          <w:szCs w:val="24"/>
          <w:lang w:val="en-US"/>
        </w:rPr>
        <w:t>in order to</w:t>
      </w:r>
      <w:proofErr w:type="gramEnd"/>
      <w:r w:rsidRPr="00980F1E">
        <w:rPr>
          <w:rFonts w:ascii="Arial" w:hAnsi="Arial" w:cs="Arial"/>
          <w:sz w:val="24"/>
          <w:szCs w:val="24"/>
          <w:lang w:val="en-US"/>
        </w:rPr>
        <w:t xml:space="preserve"> prevent them.</w:t>
      </w:r>
      <w:r w:rsidRPr="00980F1E">
        <w:rPr>
          <w:rFonts w:ascii="Arial" w:hAnsi="Arial" w:cs="Arial"/>
          <w:sz w:val="24"/>
          <w:szCs w:val="24"/>
          <w:highlight w:val="yellow"/>
          <w:lang w:val="en-US"/>
        </w:rPr>
        <w:t xml:space="preserve"> </w:t>
      </w:r>
    </w:p>
    <w:p w14:paraId="0F21C11F" w14:textId="77777777" w:rsidR="00771864" w:rsidRDefault="00771864" w:rsidP="009174FD">
      <w:pPr>
        <w:autoSpaceDE w:val="0"/>
        <w:autoSpaceDN w:val="0"/>
        <w:adjustRightInd w:val="0"/>
        <w:spacing w:after="0" w:line="240" w:lineRule="auto"/>
        <w:jc w:val="both"/>
        <w:rPr>
          <w:rFonts w:ascii="Arial" w:hAnsi="Arial" w:cs="Arial"/>
          <w:sz w:val="24"/>
          <w:szCs w:val="24"/>
          <w:lang w:val="en-US"/>
        </w:rPr>
      </w:pPr>
    </w:p>
    <w:p w14:paraId="122D7544" w14:textId="2506B751" w:rsidR="00453D69" w:rsidRDefault="00453D69" w:rsidP="009174FD">
      <w:pPr>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We would also like to point out some relevant links regarding the topic (in Estonian):</w:t>
      </w:r>
    </w:p>
    <w:p w14:paraId="6871CB87" w14:textId="6B4A79C6" w:rsidR="00453D69" w:rsidRPr="00453D69" w:rsidRDefault="00453D69" w:rsidP="009174FD">
      <w:pPr>
        <w:pStyle w:val="Loendilik"/>
        <w:numPr>
          <w:ilvl w:val="0"/>
          <w:numId w:val="1"/>
        </w:numPr>
        <w:autoSpaceDE w:val="0"/>
        <w:autoSpaceDN w:val="0"/>
        <w:adjustRightInd w:val="0"/>
        <w:spacing w:after="0" w:line="240" w:lineRule="auto"/>
        <w:jc w:val="both"/>
        <w:rPr>
          <w:rFonts w:cs="Arial"/>
          <w:sz w:val="24"/>
          <w:szCs w:val="24"/>
          <w:lang w:val="en-US"/>
        </w:rPr>
      </w:pPr>
      <w:r w:rsidRPr="00453D69">
        <w:rPr>
          <w:rFonts w:cs="Arial"/>
          <w:sz w:val="24"/>
          <w:szCs w:val="24"/>
          <w:lang w:val="en-US"/>
        </w:rPr>
        <w:t>Different</w:t>
      </w:r>
      <w:r w:rsidR="00771864" w:rsidRPr="00453D69">
        <w:rPr>
          <w:rFonts w:cs="Arial"/>
          <w:sz w:val="24"/>
          <w:szCs w:val="24"/>
          <w:lang w:val="en-US"/>
        </w:rPr>
        <w:t xml:space="preserve"> statistics can be found: </w:t>
      </w:r>
      <w:hyperlink r:id="rId24" w:history="1">
        <w:r w:rsidR="00E02533" w:rsidRPr="00453D69">
          <w:rPr>
            <w:rStyle w:val="Hperlink"/>
            <w:rFonts w:cs="Arial"/>
            <w:sz w:val="24"/>
            <w:szCs w:val="24"/>
            <w:lang w:val="en-US"/>
          </w:rPr>
          <w:t>https://www.ti.ee/asutus-uudised-ja-kontaktid/kontakt/statistika</w:t>
        </w:r>
      </w:hyperlink>
      <w:r>
        <w:t>;</w:t>
      </w:r>
    </w:p>
    <w:p w14:paraId="12E43E6F" w14:textId="6B5C824E" w:rsidR="00453D69" w:rsidRPr="00453D69" w:rsidRDefault="00453D69" w:rsidP="009174FD">
      <w:pPr>
        <w:pStyle w:val="Loendilik"/>
        <w:numPr>
          <w:ilvl w:val="0"/>
          <w:numId w:val="1"/>
        </w:numPr>
        <w:autoSpaceDE w:val="0"/>
        <w:autoSpaceDN w:val="0"/>
        <w:adjustRightInd w:val="0"/>
        <w:spacing w:after="0" w:line="240" w:lineRule="auto"/>
        <w:jc w:val="both"/>
        <w:rPr>
          <w:rFonts w:cs="Arial"/>
          <w:sz w:val="24"/>
          <w:szCs w:val="24"/>
          <w:lang w:val="en-US"/>
        </w:rPr>
      </w:pPr>
      <w:r>
        <w:rPr>
          <w:rFonts w:cs="Arial"/>
          <w:sz w:val="24"/>
          <w:szCs w:val="24"/>
          <w:lang w:val="en-US"/>
        </w:rPr>
        <w:t>Statistics on o</w:t>
      </w:r>
      <w:r w:rsidR="0006536A" w:rsidRPr="00453D69">
        <w:rPr>
          <w:rFonts w:cs="Arial"/>
          <w:sz w:val="24"/>
          <w:szCs w:val="24"/>
          <w:lang w:val="en-US"/>
        </w:rPr>
        <w:t>ccupational accidents and diseases:</w:t>
      </w:r>
      <w:r w:rsidR="00E02533" w:rsidRPr="00453D69">
        <w:rPr>
          <w:rFonts w:cs="Arial"/>
          <w:sz w:val="24"/>
          <w:szCs w:val="24"/>
          <w:lang w:val="en-US"/>
        </w:rPr>
        <w:t xml:space="preserve"> </w:t>
      </w:r>
      <w:hyperlink r:id="rId25" w:history="1">
        <w:proofErr w:type="spellStart"/>
        <w:r w:rsidR="00D2758A" w:rsidRPr="00453D69">
          <w:rPr>
            <w:rStyle w:val="Hperlink"/>
            <w:rFonts w:cs="Arial"/>
            <w:sz w:val="24"/>
            <w:szCs w:val="24"/>
            <w:lang w:val="en-US"/>
          </w:rPr>
          <w:t>Tööõnnetused</w:t>
        </w:r>
        <w:proofErr w:type="spellEnd"/>
        <w:r w:rsidR="00D2758A" w:rsidRPr="00453D69">
          <w:rPr>
            <w:rStyle w:val="Hperlink"/>
            <w:rFonts w:cs="Arial"/>
            <w:sz w:val="24"/>
            <w:szCs w:val="24"/>
            <w:lang w:val="en-US"/>
          </w:rPr>
          <w:t xml:space="preserve">, </w:t>
        </w:r>
        <w:proofErr w:type="spellStart"/>
        <w:r w:rsidR="00D2758A" w:rsidRPr="00453D69">
          <w:rPr>
            <w:rStyle w:val="Hperlink"/>
            <w:rFonts w:cs="Arial"/>
            <w:sz w:val="24"/>
            <w:szCs w:val="24"/>
            <w:lang w:val="en-US"/>
          </w:rPr>
          <w:t>kutsehaigestumised</w:t>
        </w:r>
        <w:proofErr w:type="spellEnd"/>
        <w:r w:rsidR="00D2758A" w:rsidRPr="00453D69">
          <w:rPr>
            <w:rStyle w:val="Hperlink"/>
            <w:rFonts w:cs="Arial"/>
            <w:sz w:val="24"/>
            <w:szCs w:val="24"/>
            <w:lang w:val="en-US"/>
          </w:rPr>
          <w:t xml:space="preserve">, </w:t>
        </w:r>
        <w:proofErr w:type="spellStart"/>
        <w:r w:rsidR="00D2758A" w:rsidRPr="00453D69">
          <w:rPr>
            <w:rStyle w:val="Hperlink"/>
            <w:rFonts w:cs="Arial"/>
            <w:sz w:val="24"/>
            <w:szCs w:val="24"/>
            <w:lang w:val="en-US"/>
          </w:rPr>
          <w:t>tööst</w:t>
        </w:r>
        <w:proofErr w:type="spellEnd"/>
        <w:r w:rsidR="00D2758A" w:rsidRPr="00453D69">
          <w:rPr>
            <w:rStyle w:val="Hperlink"/>
            <w:rFonts w:cs="Arial"/>
            <w:sz w:val="24"/>
            <w:szCs w:val="24"/>
            <w:lang w:val="en-US"/>
          </w:rPr>
          <w:t xml:space="preserve"> </w:t>
        </w:r>
        <w:proofErr w:type="spellStart"/>
        <w:r w:rsidR="00D2758A" w:rsidRPr="00453D69">
          <w:rPr>
            <w:rStyle w:val="Hperlink"/>
            <w:rFonts w:cs="Arial"/>
            <w:sz w:val="24"/>
            <w:szCs w:val="24"/>
            <w:lang w:val="en-US"/>
          </w:rPr>
          <w:t>põhjustatud</w:t>
        </w:r>
        <w:proofErr w:type="spellEnd"/>
        <w:r w:rsidR="00D2758A" w:rsidRPr="00453D69">
          <w:rPr>
            <w:rStyle w:val="Hperlink"/>
            <w:rFonts w:cs="Arial"/>
            <w:sz w:val="24"/>
            <w:szCs w:val="24"/>
            <w:lang w:val="en-US"/>
          </w:rPr>
          <w:t xml:space="preserve"> </w:t>
        </w:r>
        <w:proofErr w:type="spellStart"/>
        <w:r w:rsidR="00D2758A" w:rsidRPr="00453D69">
          <w:rPr>
            <w:rStyle w:val="Hperlink"/>
            <w:rFonts w:cs="Arial"/>
            <w:sz w:val="24"/>
            <w:szCs w:val="24"/>
            <w:lang w:val="en-US"/>
          </w:rPr>
          <w:t>haigestumised</w:t>
        </w:r>
        <w:proofErr w:type="spellEnd"/>
        <w:r w:rsidR="00D2758A" w:rsidRPr="00453D69">
          <w:rPr>
            <w:rStyle w:val="Hperlink"/>
            <w:rFonts w:cs="Arial"/>
            <w:sz w:val="24"/>
            <w:szCs w:val="24"/>
            <w:lang w:val="en-US"/>
          </w:rPr>
          <w:t xml:space="preserve"> </w:t>
        </w:r>
        <w:proofErr w:type="spellStart"/>
        <w:r w:rsidR="00D2758A" w:rsidRPr="00453D69">
          <w:rPr>
            <w:rStyle w:val="Hperlink"/>
            <w:rFonts w:cs="Arial"/>
            <w:sz w:val="24"/>
            <w:szCs w:val="24"/>
            <w:lang w:val="en-US"/>
          </w:rPr>
          <w:t>tabelina</w:t>
        </w:r>
        <w:proofErr w:type="spellEnd"/>
        <w:r w:rsidR="00D2758A" w:rsidRPr="00453D69">
          <w:rPr>
            <w:rStyle w:val="Hperlink"/>
            <w:rFonts w:cs="Arial"/>
            <w:sz w:val="24"/>
            <w:szCs w:val="24"/>
            <w:lang w:val="en-US"/>
          </w:rPr>
          <w:t xml:space="preserve"> 1995-2024 | 20.89 KB | xlsx</w:t>
        </w:r>
      </w:hyperlink>
      <w:r>
        <w:t>;</w:t>
      </w:r>
    </w:p>
    <w:p w14:paraId="366F6AAF" w14:textId="56FFD628" w:rsidR="00453D69" w:rsidRPr="00453D69" w:rsidRDefault="00453D69" w:rsidP="009174FD">
      <w:pPr>
        <w:pStyle w:val="Loendilik"/>
        <w:numPr>
          <w:ilvl w:val="0"/>
          <w:numId w:val="1"/>
        </w:numPr>
        <w:autoSpaceDE w:val="0"/>
        <w:autoSpaceDN w:val="0"/>
        <w:adjustRightInd w:val="0"/>
        <w:spacing w:after="0" w:line="240" w:lineRule="auto"/>
        <w:jc w:val="both"/>
        <w:rPr>
          <w:rFonts w:cs="Arial"/>
          <w:sz w:val="24"/>
          <w:szCs w:val="24"/>
          <w:lang w:val="en-US"/>
        </w:rPr>
      </w:pPr>
      <w:r>
        <w:rPr>
          <w:rFonts w:cs="Arial"/>
          <w:sz w:val="24"/>
          <w:szCs w:val="24"/>
          <w:lang w:val="en-US"/>
        </w:rPr>
        <w:t>Statistics on ad</w:t>
      </w:r>
      <w:r w:rsidR="00E312D5" w:rsidRPr="00453D69">
        <w:rPr>
          <w:rFonts w:cs="Arial"/>
          <w:sz w:val="24"/>
          <w:szCs w:val="24"/>
          <w:lang w:val="en-US"/>
        </w:rPr>
        <w:t>ministrative proceedings:</w:t>
      </w:r>
      <w:r w:rsidR="00E02533" w:rsidRPr="00453D69">
        <w:rPr>
          <w:rFonts w:cs="Arial"/>
          <w:sz w:val="24"/>
          <w:szCs w:val="24"/>
          <w:lang w:val="en-US"/>
        </w:rPr>
        <w:t xml:space="preserve"> </w:t>
      </w:r>
      <w:hyperlink r:id="rId26" w:history="1">
        <w:proofErr w:type="spellStart"/>
        <w:r w:rsidR="00D2758A" w:rsidRPr="00453D69">
          <w:rPr>
            <w:rStyle w:val="Hperlink"/>
            <w:rFonts w:cs="Arial"/>
            <w:sz w:val="24"/>
            <w:szCs w:val="24"/>
            <w:lang w:val="en-US"/>
          </w:rPr>
          <w:t>Väärteomenetlused</w:t>
        </w:r>
        <w:proofErr w:type="spellEnd"/>
        <w:r w:rsidR="00D2758A" w:rsidRPr="00453D69">
          <w:rPr>
            <w:rStyle w:val="Hperlink"/>
            <w:rFonts w:cs="Arial"/>
            <w:sz w:val="24"/>
            <w:szCs w:val="24"/>
            <w:lang w:val="en-US"/>
          </w:rPr>
          <w:t xml:space="preserve"> </w:t>
        </w:r>
        <w:proofErr w:type="spellStart"/>
        <w:r w:rsidR="00D2758A" w:rsidRPr="00453D69">
          <w:rPr>
            <w:rStyle w:val="Hperlink"/>
            <w:rFonts w:cs="Arial"/>
            <w:sz w:val="24"/>
            <w:szCs w:val="24"/>
            <w:lang w:val="en-US"/>
          </w:rPr>
          <w:t>tabelina</w:t>
        </w:r>
        <w:proofErr w:type="spellEnd"/>
        <w:r w:rsidR="00D2758A" w:rsidRPr="00453D69">
          <w:rPr>
            <w:rStyle w:val="Hperlink"/>
            <w:rFonts w:cs="Arial"/>
            <w:sz w:val="24"/>
            <w:szCs w:val="24"/>
            <w:lang w:val="en-US"/>
          </w:rPr>
          <w:t xml:space="preserve"> 2012-2024 | 20.91 KB | xlsx</w:t>
        </w:r>
      </w:hyperlink>
      <w:r>
        <w:t>;</w:t>
      </w:r>
    </w:p>
    <w:p w14:paraId="291642DC" w14:textId="38AEFF4D" w:rsidR="00453D69" w:rsidRPr="00453D69" w:rsidRDefault="00AB47FF" w:rsidP="009174FD">
      <w:pPr>
        <w:pStyle w:val="Loendilik"/>
        <w:numPr>
          <w:ilvl w:val="0"/>
          <w:numId w:val="1"/>
        </w:numPr>
        <w:autoSpaceDE w:val="0"/>
        <w:autoSpaceDN w:val="0"/>
        <w:adjustRightInd w:val="0"/>
        <w:spacing w:after="0" w:line="240" w:lineRule="auto"/>
        <w:jc w:val="both"/>
        <w:rPr>
          <w:rFonts w:cs="Arial"/>
          <w:sz w:val="24"/>
          <w:szCs w:val="24"/>
          <w:lang w:val="en-US"/>
        </w:rPr>
      </w:pPr>
      <w:r w:rsidRPr="00453D69">
        <w:rPr>
          <w:rFonts w:cs="Arial"/>
          <w:sz w:val="24"/>
          <w:szCs w:val="24"/>
          <w:lang w:val="en-US"/>
        </w:rPr>
        <w:t>Structure</w:t>
      </w:r>
      <w:r w:rsidR="00930544" w:rsidRPr="00453D69">
        <w:rPr>
          <w:rFonts w:cs="Arial"/>
          <w:sz w:val="24"/>
          <w:szCs w:val="24"/>
          <w:lang w:val="en-US"/>
        </w:rPr>
        <w:t xml:space="preserve"> of the Labour Inspectorate</w:t>
      </w:r>
      <w:r w:rsidRPr="00453D69">
        <w:rPr>
          <w:rFonts w:cs="Arial"/>
          <w:sz w:val="24"/>
          <w:szCs w:val="24"/>
          <w:lang w:val="en-US"/>
        </w:rPr>
        <w:t xml:space="preserve">: </w:t>
      </w:r>
      <w:hyperlink r:id="rId27" w:history="1">
        <w:r w:rsidR="00453D69" w:rsidRPr="000A5454">
          <w:rPr>
            <w:rStyle w:val="Hperlink"/>
            <w:rFonts w:cs="Arial"/>
            <w:sz w:val="24"/>
            <w:szCs w:val="24"/>
            <w:lang w:val="en-US"/>
          </w:rPr>
          <w:t>https://ti.ee/sites/default/files/documents/2025-05/TI%20koosseis%2012.05.2025.pdf</w:t>
        </w:r>
      </w:hyperlink>
      <w:r w:rsidR="00453D69">
        <w:t>;</w:t>
      </w:r>
    </w:p>
    <w:p w14:paraId="170AC10F" w14:textId="77777777" w:rsidR="0077794E" w:rsidRDefault="0077794E" w:rsidP="0077794E">
      <w:pPr>
        <w:autoSpaceDE w:val="0"/>
        <w:autoSpaceDN w:val="0"/>
        <w:adjustRightInd w:val="0"/>
        <w:spacing w:after="0" w:line="240" w:lineRule="auto"/>
        <w:jc w:val="both"/>
        <w:rPr>
          <w:rFonts w:cs="Arial"/>
          <w:sz w:val="24"/>
          <w:szCs w:val="24"/>
          <w:lang w:val="en-US"/>
        </w:rPr>
      </w:pPr>
    </w:p>
    <w:p w14:paraId="3B4BB884" w14:textId="418328F0" w:rsidR="00D2758A" w:rsidRPr="0077794E" w:rsidRDefault="00AB47FF" w:rsidP="0077794E">
      <w:pPr>
        <w:autoSpaceDE w:val="0"/>
        <w:autoSpaceDN w:val="0"/>
        <w:adjustRightInd w:val="0"/>
        <w:spacing w:after="0" w:line="240" w:lineRule="auto"/>
        <w:jc w:val="both"/>
        <w:rPr>
          <w:rFonts w:cs="Arial"/>
          <w:sz w:val="24"/>
          <w:szCs w:val="24"/>
          <w:lang w:val="en-US"/>
        </w:rPr>
      </w:pPr>
      <w:r w:rsidRPr="0077794E">
        <w:rPr>
          <w:rFonts w:ascii="Arial" w:hAnsi="Arial" w:cs="Arial"/>
          <w:sz w:val="24"/>
          <w:szCs w:val="24"/>
          <w:lang w:val="en-US"/>
        </w:rPr>
        <w:t>Yearbook</w:t>
      </w:r>
      <w:r w:rsidR="0077794E" w:rsidRPr="0077794E">
        <w:rPr>
          <w:rFonts w:ascii="Arial" w:hAnsi="Arial" w:cs="Arial"/>
          <w:sz w:val="24"/>
          <w:szCs w:val="24"/>
          <w:lang w:val="en-US"/>
        </w:rPr>
        <w:t>s</w:t>
      </w:r>
      <w:r w:rsidR="00930544" w:rsidRPr="0077794E">
        <w:rPr>
          <w:rFonts w:ascii="Arial" w:hAnsi="Arial" w:cs="Arial"/>
          <w:sz w:val="24"/>
          <w:szCs w:val="24"/>
          <w:lang w:val="en-US"/>
        </w:rPr>
        <w:t xml:space="preserve"> of the Labour Inspectorate</w:t>
      </w:r>
      <w:r w:rsidR="0077794E" w:rsidRPr="0077794E">
        <w:rPr>
          <w:rFonts w:ascii="Arial" w:hAnsi="Arial" w:cs="Arial"/>
          <w:sz w:val="24"/>
          <w:szCs w:val="24"/>
          <w:lang w:val="en-US"/>
        </w:rPr>
        <w:t xml:space="preserve"> are also available in English</w:t>
      </w:r>
      <w:r w:rsidRPr="0077794E">
        <w:rPr>
          <w:rFonts w:ascii="Arial" w:hAnsi="Arial" w:cs="Arial"/>
          <w:sz w:val="24"/>
          <w:szCs w:val="24"/>
          <w:lang w:val="en-US"/>
        </w:rPr>
        <w:t>:</w:t>
      </w:r>
      <w:r w:rsidR="00453D69" w:rsidRPr="0077794E">
        <w:rPr>
          <w:rFonts w:ascii="Arial" w:hAnsi="Arial" w:cs="Arial"/>
          <w:sz w:val="24"/>
          <w:szCs w:val="24"/>
          <w:lang w:val="en-US"/>
        </w:rPr>
        <w:t xml:space="preserve"> </w:t>
      </w:r>
      <w:hyperlink r:id="rId28" w:history="1">
        <w:r w:rsidR="00453D69" w:rsidRPr="0077794E">
          <w:rPr>
            <w:rStyle w:val="Hperlink"/>
            <w:rFonts w:cs="Arial"/>
            <w:sz w:val="24"/>
            <w:szCs w:val="24"/>
            <w:lang w:val="en-US"/>
          </w:rPr>
          <w:t>https://ti.ee/en/government-agency-news-and-contacts/contacts/yearbook-labour-inspectorate</w:t>
        </w:r>
      </w:hyperlink>
      <w:r w:rsidR="00453D69" w:rsidRPr="0077794E">
        <w:rPr>
          <w:rFonts w:cs="Arial"/>
          <w:sz w:val="24"/>
          <w:szCs w:val="24"/>
          <w:lang w:val="en-US"/>
        </w:rPr>
        <w:t>.</w:t>
      </w:r>
    </w:p>
    <w:p w14:paraId="71A2AB63" w14:textId="5CA68A4C" w:rsidR="00AA1E92" w:rsidRPr="00E33E20" w:rsidRDefault="00AA1E92" w:rsidP="009174FD">
      <w:pPr>
        <w:autoSpaceDE w:val="0"/>
        <w:autoSpaceDN w:val="0"/>
        <w:adjustRightInd w:val="0"/>
        <w:spacing w:after="0" w:line="240" w:lineRule="auto"/>
        <w:jc w:val="both"/>
        <w:rPr>
          <w:rFonts w:ascii="Arial" w:hAnsi="Arial" w:cs="Arial"/>
          <w:sz w:val="24"/>
          <w:szCs w:val="24"/>
          <w:lang w:val="en-US"/>
        </w:rPr>
      </w:pPr>
    </w:p>
    <w:p w14:paraId="5C4583BC" w14:textId="761344F6" w:rsidR="00F77519" w:rsidRPr="00E33E20" w:rsidRDefault="00D4159E" w:rsidP="009174FD">
      <w:pPr>
        <w:spacing w:after="0" w:line="240" w:lineRule="auto"/>
        <w:jc w:val="both"/>
        <w:rPr>
          <w:rFonts w:ascii="Arial" w:hAnsi="Arial" w:cs="Arial"/>
          <w:b/>
          <w:sz w:val="24"/>
          <w:szCs w:val="24"/>
          <w:lang w:val="en-US"/>
        </w:rPr>
      </w:pPr>
      <w:r w:rsidRPr="00E33E20">
        <w:rPr>
          <w:rFonts w:ascii="Arial" w:hAnsi="Arial" w:cs="Arial"/>
          <w:b/>
          <w:sz w:val="24"/>
          <w:szCs w:val="24"/>
          <w:lang w:val="en-US"/>
        </w:rPr>
        <w:t xml:space="preserve">Labour </w:t>
      </w:r>
      <w:r w:rsidR="00AA1E92" w:rsidRPr="00E33E20">
        <w:rPr>
          <w:rFonts w:ascii="Arial" w:hAnsi="Arial" w:cs="Arial"/>
          <w:b/>
          <w:sz w:val="24"/>
          <w:szCs w:val="24"/>
          <w:lang w:val="en-US"/>
        </w:rPr>
        <w:t>inspection services in agriculture</w:t>
      </w:r>
    </w:p>
    <w:p w14:paraId="0CFDC43E" w14:textId="77777777" w:rsidR="00AA1E92" w:rsidRPr="00E33E20" w:rsidRDefault="00AA1E92" w:rsidP="009174FD">
      <w:pPr>
        <w:spacing w:after="0" w:line="240" w:lineRule="auto"/>
        <w:jc w:val="both"/>
        <w:rPr>
          <w:rFonts w:ascii="Arial" w:hAnsi="Arial" w:cs="Arial"/>
          <w:b/>
          <w:sz w:val="24"/>
          <w:szCs w:val="24"/>
          <w:lang w:val="en-US"/>
        </w:rPr>
      </w:pPr>
    </w:p>
    <w:p w14:paraId="523D0483" w14:textId="1D36A141" w:rsidR="00AA1E92" w:rsidRPr="00E33E20" w:rsidRDefault="00AA1E92" w:rsidP="009174FD">
      <w:pPr>
        <w:spacing w:after="0" w:line="240" w:lineRule="auto"/>
        <w:jc w:val="both"/>
        <w:rPr>
          <w:rFonts w:ascii="Arial" w:hAnsi="Arial" w:cs="Arial"/>
          <w:bCs/>
          <w:sz w:val="24"/>
          <w:szCs w:val="24"/>
          <w:lang w:val="en-US"/>
        </w:rPr>
      </w:pPr>
      <w:r w:rsidRPr="00E33E20">
        <w:rPr>
          <w:rFonts w:ascii="Arial" w:hAnsi="Arial" w:cs="Arial"/>
          <w:bCs/>
          <w:sz w:val="24"/>
          <w:szCs w:val="24"/>
          <w:lang w:val="en-US"/>
        </w:rPr>
        <w:t xml:space="preserve">In general, our checklist includes </w:t>
      </w:r>
      <w:proofErr w:type="gramStart"/>
      <w:r w:rsidRPr="00E33E20">
        <w:rPr>
          <w:rFonts w:ascii="Arial" w:hAnsi="Arial" w:cs="Arial"/>
          <w:bCs/>
          <w:sz w:val="24"/>
          <w:szCs w:val="24"/>
          <w:lang w:val="en-US"/>
        </w:rPr>
        <w:t>employers</w:t>
      </w:r>
      <w:proofErr w:type="gramEnd"/>
      <w:r w:rsidRPr="00E33E20">
        <w:rPr>
          <w:rFonts w:ascii="Arial" w:hAnsi="Arial" w:cs="Arial"/>
          <w:bCs/>
          <w:sz w:val="24"/>
          <w:szCs w:val="24"/>
          <w:lang w:val="en-US"/>
        </w:rPr>
        <w:t xml:space="preserve"> from different sectors (including the agricultural sector)</w:t>
      </w:r>
      <w:r w:rsidR="00930544">
        <w:rPr>
          <w:rFonts w:ascii="Arial" w:hAnsi="Arial" w:cs="Arial"/>
          <w:bCs/>
          <w:sz w:val="24"/>
          <w:szCs w:val="24"/>
          <w:lang w:val="en-US"/>
        </w:rPr>
        <w:t>. H</w:t>
      </w:r>
      <w:r w:rsidR="00C26ADF" w:rsidRPr="00E33E20">
        <w:rPr>
          <w:rFonts w:ascii="Arial" w:hAnsi="Arial" w:cs="Arial"/>
          <w:bCs/>
          <w:sz w:val="24"/>
          <w:szCs w:val="24"/>
          <w:lang w:val="en-US"/>
        </w:rPr>
        <w:t>owever</w:t>
      </w:r>
      <w:r w:rsidR="00930544">
        <w:rPr>
          <w:rFonts w:ascii="Arial" w:hAnsi="Arial" w:cs="Arial"/>
          <w:bCs/>
          <w:sz w:val="24"/>
          <w:szCs w:val="24"/>
          <w:lang w:val="en-US"/>
        </w:rPr>
        <w:t>,</w:t>
      </w:r>
      <w:r w:rsidRPr="00E33E20">
        <w:rPr>
          <w:rFonts w:ascii="Arial" w:hAnsi="Arial" w:cs="Arial"/>
          <w:bCs/>
          <w:sz w:val="24"/>
          <w:szCs w:val="24"/>
          <w:lang w:val="en-US"/>
        </w:rPr>
        <w:t xml:space="preserve"> in 2023 </w:t>
      </w:r>
      <w:r w:rsidR="00C26ADF" w:rsidRPr="00E33E20">
        <w:rPr>
          <w:rFonts w:ascii="Arial" w:hAnsi="Arial" w:cs="Arial"/>
          <w:bCs/>
          <w:sz w:val="24"/>
          <w:szCs w:val="24"/>
          <w:lang w:val="en-US"/>
        </w:rPr>
        <w:t>a</w:t>
      </w:r>
      <w:r w:rsidRPr="00E33E20">
        <w:rPr>
          <w:rFonts w:ascii="Arial" w:hAnsi="Arial" w:cs="Arial"/>
          <w:bCs/>
          <w:sz w:val="24"/>
          <w:szCs w:val="24"/>
          <w:lang w:val="en-US"/>
        </w:rPr>
        <w:t xml:space="preserve"> targeted inspection of agriculture was carried out separately</w:t>
      </w:r>
      <w:r w:rsidR="00555E03" w:rsidRPr="00E33E20">
        <w:rPr>
          <w:rFonts w:ascii="Arial" w:hAnsi="Arial" w:cs="Arial"/>
          <w:bCs/>
          <w:sz w:val="24"/>
          <w:szCs w:val="24"/>
          <w:lang w:val="en-US"/>
        </w:rPr>
        <w:t>, the summary of which can be found here:</w:t>
      </w:r>
    </w:p>
    <w:p w14:paraId="09E302C4" w14:textId="366CA67B" w:rsidR="00AA1E92" w:rsidRDefault="00555E03" w:rsidP="009174FD">
      <w:pPr>
        <w:spacing w:after="0" w:line="240" w:lineRule="auto"/>
        <w:jc w:val="both"/>
        <w:rPr>
          <w:rFonts w:ascii="Arial" w:hAnsi="Arial" w:cs="Arial"/>
          <w:lang w:val="en-US"/>
        </w:rPr>
      </w:pPr>
      <w:hyperlink r:id="rId29" w:history="1">
        <w:r w:rsidRPr="00E33E20">
          <w:rPr>
            <w:rStyle w:val="Hperlink"/>
            <w:rFonts w:ascii="Arial" w:hAnsi="Arial" w:cs="Arial"/>
            <w:bCs/>
            <w:sz w:val="24"/>
            <w:szCs w:val="24"/>
            <w:lang w:val="en-US"/>
          </w:rPr>
          <w:t>https://ti.ee/sites/default/files/documents/2024-01/P%C3%B5llumajandussektori%20SK.pdf</w:t>
        </w:r>
      </w:hyperlink>
      <w:r w:rsidR="00930544" w:rsidRPr="00930544">
        <w:rPr>
          <w:rFonts w:ascii="Arial" w:hAnsi="Arial" w:cs="Arial"/>
          <w:sz w:val="24"/>
          <w:szCs w:val="24"/>
          <w:lang w:val="en-US"/>
        </w:rPr>
        <w:t xml:space="preserve">. As a result of the targeted inspection, </w:t>
      </w:r>
      <w:r w:rsidR="00930544">
        <w:rPr>
          <w:rFonts w:ascii="Arial" w:hAnsi="Arial" w:cs="Arial"/>
          <w:sz w:val="24"/>
          <w:szCs w:val="24"/>
          <w:lang w:val="en-US"/>
        </w:rPr>
        <w:t>p</w:t>
      </w:r>
      <w:r w:rsidR="00930544" w:rsidRPr="00930544">
        <w:rPr>
          <w:rFonts w:ascii="Arial" w:hAnsi="Arial" w:cs="Arial"/>
          <w:sz w:val="24"/>
          <w:szCs w:val="24"/>
          <w:lang w:val="en-US"/>
        </w:rPr>
        <w:t xml:space="preserve">recepts were issued to 37 </w:t>
      </w:r>
      <w:r w:rsidR="003A385A" w:rsidRPr="00930544">
        <w:rPr>
          <w:rFonts w:ascii="Arial" w:hAnsi="Arial" w:cs="Arial"/>
          <w:sz w:val="24"/>
          <w:szCs w:val="24"/>
          <w:lang w:val="en-US"/>
        </w:rPr>
        <w:t>companies,</w:t>
      </w:r>
      <w:r w:rsidR="00930544" w:rsidRPr="00930544">
        <w:rPr>
          <w:rFonts w:ascii="Arial" w:hAnsi="Arial" w:cs="Arial"/>
          <w:sz w:val="24"/>
          <w:szCs w:val="24"/>
          <w:lang w:val="en-US"/>
        </w:rPr>
        <w:t xml:space="preserve"> and 2 </w:t>
      </w:r>
      <w:r w:rsidR="003A385A" w:rsidRPr="00930544">
        <w:rPr>
          <w:rFonts w:ascii="Arial" w:hAnsi="Arial" w:cs="Arial"/>
          <w:sz w:val="24"/>
          <w:szCs w:val="24"/>
          <w:lang w:val="en-US"/>
        </w:rPr>
        <w:t>misdemeanor</w:t>
      </w:r>
      <w:r w:rsidR="00930544" w:rsidRPr="00930544">
        <w:rPr>
          <w:rFonts w:ascii="Arial" w:hAnsi="Arial" w:cs="Arial"/>
          <w:sz w:val="24"/>
          <w:szCs w:val="24"/>
          <w:lang w:val="en-US"/>
        </w:rPr>
        <w:t xml:space="preserve"> proceedings were initiated.</w:t>
      </w:r>
    </w:p>
    <w:p w14:paraId="5DD48D38" w14:textId="77777777" w:rsidR="00930544" w:rsidRPr="00E33E20" w:rsidRDefault="00930544" w:rsidP="009174FD">
      <w:pPr>
        <w:spacing w:after="0" w:line="240" w:lineRule="auto"/>
        <w:jc w:val="both"/>
        <w:rPr>
          <w:rFonts w:ascii="Arial" w:hAnsi="Arial" w:cs="Arial"/>
          <w:bCs/>
          <w:sz w:val="24"/>
          <w:szCs w:val="24"/>
          <w:lang w:val="en-US"/>
        </w:rPr>
      </w:pPr>
    </w:p>
    <w:p w14:paraId="0FCF7809" w14:textId="2F81A0DB" w:rsidR="00AA1E92" w:rsidRDefault="00930544" w:rsidP="009174FD">
      <w:pPr>
        <w:spacing w:after="0" w:line="240" w:lineRule="auto"/>
        <w:jc w:val="both"/>
        <w:rPr>
          <w:rFonts w:ascii="Arial" w:hAnsi="Arial" w:cs="Arial"/>
          <w:bCs/>
          <w:sz w:val="24"/>
          <w:szCs w:val="24"/>
          <w:lang w:val="en-US"/>
        </w:rPr>
      </w:pPr>
      <w:r>
        <w:rPr>
          <w:rFonts w:ascii="Arial" w:hAnsi="Arial" w:cs="Arial"/>
          <w:bCs/>
          <w:sz w:val="24"/>
          <w:szCs w:val="24"/>
          <w:lang w:val="en-US"/>
        </w:rPr>
        <w:t>Furthermore</w:t>
      </w:r>
      <w:r w:rsidR="00E37186" w:rsidRPr="00E33E20">
        <w:rPr>
          <w:rFonts w:ascii="Arial" w:hAnsi="Arial" w:cs="Arial"/>
          <w:bCs/>
          <w:sz w:val="24"/>
          <w:szCs w:val="24"/>
          <w:lang w:val="en-US"/>
        </w:rPr>
        <w:t>, s</w:t>
      </w:r>
      <w:r w:rsidR="00AA1E92" w:rsidRPr="00E33E20">
        <w:rPr>
          <w:rFonts w:ascii="Arial" w:hAnsi="Arial" w:cs="Arial"/>
          <w:bCs/>
          <w:sz w:val="24"/>
          <w:szCs w:val="24"/>
          <w:lang w:val="en-US"/>
        </w:rPr>
        <w:t>ocial conditionality sets the condition for receiving area and animal-based subsidies of the European Union's common agricultural policy to comply with certain requirements related to working and employment conditions and employer obligations in addition to the requirements established so far</w:t>
      </w:r>
      <w:r w:rsidR="00E37186" w:rsidRPr="00E33E20">
        <w:rPr>
          <w:rFonts w:ascii="Arial" w:hAnsi="Arial" w:cs="Arial"/>
          <w:bCs/>
          <w:sz w:val="24"/>
          <w:szCs w:val="24"/>
          <w:lang w:val="en-US"/>
        </w:rPr>
        <w:t xml:space="preserve"> (</w:t>
      </w:r>
      <w:hyperlink r:id="rId30" w:history="1">
        <w:r w:rsidR="00E37186" w:rsidRPr="00E33E20">
          <w:rPr>
            <w:rStyle w:val="Hperlink"/>
            <w:rFonts w:ascii="Arial" w:hAnsi="Arial" w:cs="Arial"/>
            <w:bCs/>
            <w:sz w:val="24"/>
            <w:szCs w:val="24"/>
            <w:lang w:val="en-US"/>
          </w:rPr>
          <w:t>https://www.pria.ee/infokeskus/tingimuslikkus</w:t>
        </w:r>
      </w:hyperlink>
      <w:r w:rsidR="00E37186" w:rsidRPr="00E33E20">
        <w:rPr>
          <w:rFonts w:ascii="Arial" w:hAnsi="Arial" w:cs="Arial"/>
          <w:bCs/>
          <w:sz w:val="24"/>
          <w:szCs w:val="24"/>
          <w:lang w:val="en-US"/>
        </w:rPr>
        <w:t>)</w:t>
      </w:r>
      <w:r w:rsidR="00AA1E92" w:rsidRPr="00E33E20">
        <w:rPr>
          <w:rFonts w:ascii="Arial" w:hAnsi="Arial" w:cs="Arial"/>
          <w:bCs/>
          <w:sz w:val="24"/>
          <w:szCs w:val="24"/>
          <w:lang w:val="en-US"/>
        </w:rPr>
        <w:t xml:space="preserve">. The requirements of social conditionality do not involve the establishment of new or additional requirements related to working and employment conditions and employer obligations, nor the creation of a new control system. In essence, it is only a matter of linking agricultural subsidies to relevant legislation in force in Estonia (for example, the Employment Contracts Act, the Occupational Health and Safety Act). All requirements related to working and employment conditions and employer obligations, which are also social </w:t>
      </w:r>
      <w:proofErr w:type="gramStart"/>
      <w:r w:rsidR="00AA1E92" w:rsidRPr="00E33E20">
        <w:rPr>
          <w:rFonts w:ascii="Arial" w:hAnsi="Arial" w:cs="Arial"/>
          <w:bCs/>
          <w:sz w:val="24"/>
          <w:szCs w:val="24"/>
          <w:lang w:val="en-US"/>
        </w:rPr>
        <w:t>conditionality</w:t>
      </w:r>
      <w:proofErr w:type="gramEnd"/>
      <w:r w:rsidR="00AA1E92" w:rsidRPr="00E33E20">
        <w:rPr>
          <w:rFonts w:ascii="Arial" w:hAnsi="Arial" w:cs="Arial"/>
          <w:bCs/>
          <w:sz w:val="24"/>
          <w:szCs w:val="24"/>
          <w:lang w:val="en-US"/>
        </w:rPr>
        <w:t xml:space="preserve"> requirements, have been checked during the usual inspection before.</w:t>
      </w:r>
    </w:p>
    <w:p w14:paraId="4526AB61" w14:textId="77777777" w:rsidR="00930544" w:rsidRPr="00E33E20" w:rsidRDefault="00930544" w:rsidP="009174FD">
      <w:pPr>
        <w:spacing w:after="0" w:line="240" w:lineRule="auto"/>
        <w:jc w:val="both"/>
        <w:rPr>
          <w:rFonts w:ascii="Arial" w:hAnsi="Arial" w:cs="Arial"/>
          <w:bCs/>
          <w:sz w:val="24"/>
          <w:szCs w:val="24"/>
          <w:lang w:val="en-US"/>
        </w:rPr>
      </w:pPr>
    </w:p>
    <w:p w14:paraId="253CAD10" w14:textId="77777777" w:rsidR="00AA1E92" w:rsidRDefault="00AA1E92" w:rsidP="009174FD">
      <w:pPr>
        <w:spacing w:after="0" w:line="240" w:lineRule="auto"/>
        <w:jc w:val="both"/>
        <w:rPr>
          <w:rFonts w:ascii="Arial" w:hAnsi="Arial" w:cs="Arial"/>
          <w:bCs/>
          <w:sz w:val="24"/>
          <w:szCs w:val="24"/>
          <w:lang w:val="en-US"/>
        </w:rPr>
      </w:pPr>
      <w:r w:rsidRPr="00E33E20">
        <w:rPr>
          <w:rFonts w:ascii="Arial" w:hAnsi="Arial" w:cs="Arial"/>
          <w:bCs/>
          <w:sz w:val="24"/>
          <w:szCs w:val="24"/>
          <w:lang w:val="en-US"/>
        </w:rPr>
        <w:t>From 1 January 2025, receiving full area and animal subsidies will be linked, in addition to fulfilling the conditionality requirements, to fulfilling the work and employment conditions, i.e. social conditionality requirements.</w:t>
      </w:r>
    </w:p>
    <w:p w14:paraId="72EDF850" w14:textId="77777777" w:rsidR="00930544" w:rsidRPr="00E33E20" w:rsidRDefault="00930544" w:rsidP="009174FD">
      <w:pPr>
        <w:spacing w:after="0" w:line="240" w:lineRule="auto"/>
        <w:jc w:val="both"/>
        <w:rPr>
          <w:rFonts w:ascii="Arial" w:hAnsi="Arial" w:cs="Arial"/>
          <w:bCs/>
          <w:sz w:val="24"/>
          <w:szCs w:val="24"/>
          <w:lang w:val="en-US"/>
        </w:rPr>
      </w:pPr>
    </w:p>
    <w:p w14:paraId="4E1BD3B4" w14:textId="20132FB7" w:rsidR="00AA1E92" w:rsidRDefault="00AA1E92" w:rsidP="009174FD">
      <w:pPr>
        <w:spacing w:after="0" w:line="240" w:lineRule="auto"/>
        <w:jc w:val="both"/>
        <w:rPr>
          <w:rFonts w:ascii="Arial" w:hAnsi="Arial" w:cs="Arial"/>
          <w:bCs/>
          <w:sz w:val="24"/>
          <w:szCs w:val="24"/>
          <w:lang w:val="en-US"/>
        </w:rPr>
      </w:pPr>
      <w:r w:rsidRPr="00E33E20">
        <w:rPr>
          <w:rFonts w:ascii="Arial" w:hAnsi="Arial" w:cs="Arial"/>
          <w:bCs/>
          <w:sz w:val="24"/>
          <w:szCs w:val="24"/>
          <w:lang w:val="en-US"/>
        </w:rPr>
        <w:t>In the case of a violation resulting from negligence, i.e. all violations that did not have serious consequences or if they did not pose a threat to human and animal health, are added together and in the case of a first-time violation, the total reduction is limited to 5%. In the case of at least one violation with serious consequences or a violation poses a direct threat to human and/or animal health, the total reduction is limited to 10% in the case of a first-time violation.</w:t>
      </w:r>
      <w:r w:rsidR="00930544">
        <w:rPr>
          <w:rFonts w:ascii="Arial" w:hAnsi="Arial" w:cs="Arial"/>
          <w:bCs/>
          <w:sz w:val="24"/>
          <w:szCs w:val="24"/>
          <w:lang w:val="en-US"/>
        </w:rPr>
        <w:t xml:space="preserve"> </w:t>
      </w:r>
      <w:r w:rsidRPr="00E33E20">
        <w:rPr>
          <w:rFonts w:ascii="Arial" w:hAnsi="Arial" w:cs="Arial"/>
          <w:bCs/>
          <w:sz w:val="24"/>
          <w:szCs w:val="24"/>
          <w:lang w:val="en-US"/>
        </w:rPr>
        <w:t>In case of a recurrence of a first-time violation, the reduction is generally 10%. In the case of a deliberate violation, it is 15-100%.</w:t>
      </w:r>
    </w:p>
    <w:p w14:paraId="2F2CBE58" w14:textId="77777777" w:rsidR="00930544" w:rsidRPr="00E33E20" w:rsidRDefault="00930544" w:rsidP="009174FD">
      <w:pPr>
        <w:spacing w:after="0" w:line="240" w:lineRule="auto"/>
        <w:jc w:val="both"/>
        <w:rPr>
          <w:rFonts w:ascii="Arial" w:hAnsi="Arial" w:cs="Arial"/>
          <w:bCs/>
          <w:sz w:val="24"/>
          <w:szCs w:val="24"/>
          <w:lang w:val="en-US"/>
        </w:rPr>
      </w:pPr>
    </w:p>
    <w:p w14:paraId="1C9571D7" w14:textId="1B1A3C8D" w:rsidR="00AA1E92" w:rsidRDefault="00AA1E92" w:rsidP="009174FD">
      <w:pPr>
        <w:spacing w:after="0" w:line="240" w:lineRule="auto"/>
        <w:jc w:val="both"/>
        <w:rPr>
          <w:rFonts w:ascii="Arial" w:hAnsi="Arial" w:cs="Arial"/>
          <w:bCs/>
          <w:sz w:val="24"/>
          <w:szCs w:val="24"/>
          <w:lang w:val="en-US"/>
        </w:rPr>
      </w:pPr>
      <w:r w:rsidRPr="00E33E20">
        <w:rPr>
          <w:rFonts w:ascii="Arial" w:hAnsi="Arial" w:cs="Arial"/>
          <w:bCs/>
          <w:sz w:val="24"/>
          <w:szCs w:val="24"/>
          <w:lang w:val="en-US"/>
        </w:rPr>
        <w:t>If, as part of its routine inspection, the Labour Inspectorate detects a violation of a requirement related to working or employment conditions in a company applying for area-based and/or animal-based subsidies, it will notify the</w:t>
      </w:r>
      <w:r w:rsidR="003A1BB9" w:rsidRPr="00E33E20">
        <w:rPr>
          <w:rFonts w:ascii="Arial" w:hAnsi="Arial" w:cs="Arial"/>
          <w:bCs/>
          <w:sz w:val="24"/>
          <w:szCs w:val="24"/>
          <w:lang w:val="en-US"/>
        </w:rPr>
        <w:t xml:space="preserve"> relevant authority</w:t>
      </w:r>
      <w:r w:rsidRPr="00E33E20">
        <w:rPr>
          <w:rFonts w:ascii="Arial" w:hAnsi="Arial" w:cs="Arial"/>
          <w:bCs/>
          <w:sz w:val="24"/>
          <w:szCs w:val="24"/>
          <w:lang w:val="en-US"/>
        </w:rPr>
        <w:t xml:space="preserve"> thereof.</w:t>
      </w:r>
    </w:p>
    <w:p w14:paraId="259AA728" w14:textId="77777777" w:rsidR="00930544" w:rsidRPr="00E33E20" w:rsidRDefault="00930544" w:rsidP="009174FD">
      <w:pPr>
        <w:spacing w:after="0" w:line="240" w:lineRule="auto"/>
        <w:jc w:val="both"/>
        <w:rPr>
          <w:rFonts w:ascii="Arial" w:hAnsi="Arial" w:cs="Arial"/>
          <w:bCs/>
          <w:sz w:val="24"/>
          <w:szCs w:val="24"/>
          <w:lang w:val="en-US"/>
        </w:rPr>
      </w:pPr>
    </w:p>
    <w:p w14:paraId="2C3D0997" w14:textId="7B4EEA15" w:rsidR="00AA1E92" w:rsidRPr="00E33E20" w:rsidRDefault="00AA1E92" w:rsidP="009174FD">
      <w:pPr>
        <w:spacing w:after="0" w:line="240" w:lineRule="auto"/>
        <w:jc w:val="both"/>
        <w:rPr>
          <w:rFonts w:ascii="Arial" w:hAnsi="Arial" w:cs="Arial"/>
          <w:bCs/>
          <w:sz w:val="24"/>
          <w:szCs w:val="24"/>
          <w:lang w:val="en-US"/>
        </w:rPr>
      </w:pPr>
      <w:r w:rsidRPr="00E33E20">
        <w:rPr>
          <w:rFonts w:ascii="Arial" w:hAnsi="Arial" w:cs="Arial"/>
          <w:bCs/>
          <w:sz w:val="24"/>
          <w:szCs w:val="24"/>
          <w:lang w:val="en-US"/>
        </w:rPr>
        <w:t xml:space="preserve">Although this does not mean that we will carry out significantly more inspections in the agricultural sector, it may lead to an improvement in the situation, since in the case of serious violations there is a high probability that the amount of state support applied for will decrease, which has a significant impact on the economic situation of the agricultural enterprise. Thus, employers </w:t>
      </w:r>
      <w:r w:rsidR="00F768E6" w:rsidRPr="00E33E20">
        <w:rPr>
          <w:rFonts w:ascii="Arial" w:hAnsi="Arial" w:cs="Arial"/>
          <w:bCs/>
          <w:sz w:val="24"/>
          <w:szCs w:val="24"/>
          <w:lang w:val="en-US"/>
        </w:rPr>
        <w:t xml:space="preserve">are expected to be </w:t>
      </w:r>
      <w:r w:rsidR="001F4CCA" w:rsidRPr="00E33E20">
        <w:rPr>
          <w:rFonts w:ascii="Arial" w:hAnsi="Arial" w:cs="Arial"/>
          <w:bCs/>
          <w:sz w:val="24"/>
          <w:szCs w:val="24"/>
          <w:lang w:val="en-US"/>
        </w:rPr>
        <w:t xml:space="preserve">more </w:t>
      </w:r>
      <w:r w:rsidRPr="00E33E20">
        <w:rPr>
          <w:rFonts w:ascii="Arial" w:hAnsi="Arial" w:cs="Arial"/>
          <w:bCs/>
          <w:sz w:val="24"/>
          <w:szCs w:val="24"/>
          <w:lang w:val="en-US"/>
        </w:rPr>
        <w:t>motivated to comply with the</w:t>
      </w:r>
      <w:r w:rsidR="001F4CCA" w:rsidRPr="00E33E20">
        <w:rPr>
          <w:rFonts w:ascii="Arial" w:hAnsi="Arial" w:cs="Arial"/>
          <w:bCs/>
          <w:sz w:val="24"/>
          <w:szCs w:val="24"/>
          <w:lang w:val="en-US"/>
        </w:rPr>
        <w:t xml:space="preserve"> relevant</w:t>
      </w:r>
      <w:r w:rsidRPr="00E33E20">
        <w:rPr>
          <w:rFonts w:ascii="Arial" w:hAnsi="Arial" w:cs="Arial"/>
          <w:bCs/>
          <w:sz w:val="24"/>
          <w:szCs w:val="24"/>
          <w:lang w:val="en-US"/>
        </w:rPr>
        <w:t xml:space="preserve"> requirements of this sector</w:t>
      </w:r>
      <w:r w:rsidR="00E7582B" w:rsidRPr="00E33E20">
        <w:rPr>
          <w:rFonts w:ascii="Arial" w:hAnsi="Arial" w:cs="Arial"/>
          <w:bCs/>
          <w:sz w:val="24"/>
          <w:szCs w:val="24"/>
          <w:lang w:val="en-US"/>
        </w:rPr>
        <w:t>.</w:t>
      </w:r>
    </w:p>
    <w:p w14:paraId="7D3E2C5A" w14:textId="77777777" w:rsidR="00AA1E92" w:rsidRPr="00E33E20" w:rsidRDefault="00AA1E92" w:rsidP="009174FD">
      <w:pPr>
        <w:spacing w:after="0" w:line="240" w:lineRule="auto"/>
        <w:jc w:val="both"/>
        <w:rPr>
          <w:rFonts w:ascii="Arial" w:hAnsi="Arial" w:cs="Arial"/>
          <w:b/>
          <w:sz w:val="24"/>
          <w:szCs w:val="24"/>
          <w:lang w:val="en-US"/>
        </w:rPr>
      </w:pPr>
    </w:p>
    <w:p w14:paraId="6C53D665" w14:textId="31493207" w:rsidR="007131F1" w:rsidRPr="00E33E20" w:rsidRDefault="007131F1" w:rsidP="009174FD">
      <w:pPr>
        <w:spacing w:after="0" w:line="240" w:lineRule="auto"/>
        <w:jc w:val="both"/>
        <w:rPr>
          <w:rFonts w:ascii="Arial" w:hAnsi="Arial" w:cs="Arial"/>
          <w:b/>
          <w:sz w:val="24"/>
          <w:szCs w:val="24"/>
          <w:lang w:val="en-US"/>
        </w:rPr>
      </w:pPr>
      <w:r w:rsidRPr="00E33E20">
        <w:rPr>
          <w:rFonts w:ascii="Arial" w:hAnsi="Arial" w:cs="Arial"/>
          <w:b/>
          <w:sz w:val="24"/>
          <w:szCs w:val="24"/>
          <w:lang w:val="en-US"/>
        </w:rPr>
        <w:t xml:space="preserve">Training courses </w:t>
      </w:r>
      <w:r w:rsidR="00FD13D1" w:rsidRPr="00E33E20">
        <w:rPr>
          <w:rFonts w:ascii="Arial" w:hAnsi="Arial" w:cs="Arial"/>
          <w:b/>
          <w:sz w:val="24"/>
          <w:szCs w:val="24"/>
          <w:lang w:val="en-US"/>
        </w:rPr>
        <w:t>provided for labour inspectors related to agriculture</w:t>
      </w:r>
    </w:p>
    <w:p w14:paraId="6605623D" w14:textId="77777777" w:rsidR="00930544" w:rsidRDefault="00930544" w:rsidP="009174FD">
      <w:pPr>
        <w:spacing w:after="0" w:line="240" w:lineRule="auto"/>
        <w:jc w:val="both"/>
        <w:rPr>
          <w:rFonts w:ascii="Arial" w:hAnsi="Arial" w:cs="Arial"/>
          <w:bCs/>
          <w:sz w:val="24"/>
          <w:szCs w:val="24"/>
          <w:lang w:val="en-US"/>
        </w:rPr>
      </w:pPr>
    </w:p>
    <w:p w14:paraId="05810163" w14:textId="3A755C54" w:rsidR="00FD13D1" w:rsidRPr="00E33E20" w:rsidRDefault="00373AE0" w:rsidP="009174FD">
      <w:pPr>
        <w:spacing w:after="0" w:line="240" w:lineRule="auto"/>
        <w:jc w:val="both"/>
        <w:rPr>
          <w:rFonts w:ascii="Arial" w:hAnsi="Arial" w:cs="Arial"/>
          <w:bCs/>
          <w:sz w:val="24"/>
          <w:szCs w:val="24"/>
          <w:lang w:val="en-US"/>
        </w:rPr>
      </w:pPr>
      <w:r w:rsidRPr="00E33E20">
        <w:rPr>
          <w:rFonts w:ascii="Arial" w:hAnsi="Arial" w:cs="Arial"/>
          <w:bCs/>
          <w:sz w:val="24"/>
          <w:szCs w:val="24"/>
          <w:lang w:val="en-US"/>
        </w:rPr>
        <w:t>There have been no training courses specifically related to agriculture, but there have been general training courses (2019</w:t>
      </w:r>
      <w:r w:rsidR="00930544">
        <w:rPr>
          <w:rFonts w:ascii="Arial" w:hAnsi="Arial" w:cs="Arial"/>
          <w:bCs/>
          <w:sz w:val="24"/>
          <w:szCs w:val="24"/>
          <w:lang w:val="en-US"/>
        </w:rPr>
        <w:t xml:space="preserve"> – </w:t>
      </w:r>
      <w:r w:rsidRPr="00E33E20">
        <w:rPr>
          <w:rFonts w:ascii="Arial" w:hAnsi="Arial" w:cs="Arial"/>
          <w:bCs/>
          <w:sz w:val="24"/>
          <w:szCs w:val="24"/>
          <w:lang w:val="en-US"/>
        </w:rPr>
        <w:t>10.07.2025), which are also important from the perspective of the agricultural sector, e.g. personal protective equipment, misdemeanor procedure, prevention of human trafficking, chemical hazards (limit values, impact), foreign workers, training on the administrative procedure, procedural training for investigators, work equipment safety, training on biological hazards, hazardous chemicals and similar.</w:t>
      </w:r>
    </w:p>
    <w:p w14:paraId="1E23AB78" w14:textId="77777777" w:rsidR="006F7269" w:rsidRDefault="006F7269" w:rsidP="009174FD">
      <w:pPr>
        <w:spacing w:after="0" w:line="240" w:lineRule="auto"/>
        <w:jc w:val="both"/>
        <w:rPr>
          <w:rFonts w:ascii="Arial" w:hAnsi="Arial" w:cs="Arial"/>
          <w:bCs/>
          <w:sz w:val="24"/>
          <w:szCs w:val="24"/>
          <w:lang w:val="en-US"/>
        </w:rPr>
      </w:pPr>
    </w:p>
    <w:p w14:paraId="6806AC5E" w14:textId="77777777" w:rsidR="00930544" w:rsidRPr="00E33E20" w:rsidRDefault="00930544" w:rsidP="009174FD">
      <w:pPr>
        <w:spacing w:after="0" w:line="240" w:lineRule="auto"/>
        <w:jc w:val="both"/>
        <w:rPr>
          <w:rFonts w:ascii="Arial" w:hAnsi="Arial" w:cs="Arial"/>
          <w:bCs/>
          <w:sz w:val="24"/>
          <w:szCs w:val="24"/>
          <w:lang w:val="en-US"/>
        </w:rPr>
      </w:pPr>
    </w:p>
    <w:p w14:paraId="11C7B469" w14:textId="77777777" w:rsidR="006F7269" w:rsidRPr="00E33E20" w:rsidRDefault="006F7269" w:rsidP="009174FD">
      <w:pPr>
        <w:autoSpaceDE w:val="0"/>
        <w:autoSpaceDN w:val="0"/>
        <w:adjustRightInd w:val="0"/>
        <w:spacing w:after="0" w:line="240" w:lineRule="auto"/>
        <w:jc w:val="both"/>
        <w:rPr>
          <w:rFonts w:ascii="Arial" w:hAnsi="Arial" w:cs="Arial"/>
          <w:sz w:val="24"/>
          <w:szCs w:val="24"/>
          <w:lang w:val="en-US"/>
        </w:rPr>
      </w:pPr>
      <w:r w:rsidRPr="00E33E20">
        <w:rPr>
          <w:rFonts w:ascii="Arial" w:hAnsi="Arial" w:cs="Arial"/>
          <w:sz w:val="24"/>
          <w:szCs w:val="24"/>
          <w:lang w:val="en-US"/>
        </w:rPr>
        <w:t xml:space="preserve">The following organizations have been sent </w:t>
      </w:r>
      <w:proofErr w:type="gramStart"/>
      <w:r w:rsidRPr="00E33E20">
        <w:rPr>
          <w:rFonts w:ascii="Arial" w:hAnsi="Arial" w:cs="Arial"/>
          <w:sz w:val="24"/>
          <w:szCs w:val="24"/>
          <w:lang w:val="en-US"/>
        </w:rPr>
        <w:t>its</w:t>
      </w:r>
      <w:proofErr w:type="gramEnd"/>
      <w:r w:rsidRPr="00E33E20">
        <w:rPr>
          <w:rFonts w:ascii="Arial" w:hAnsi="Arial" w:cs="Arial"/>
          <w:sz w:val="24"/>
          <w:szCs w:val="24"/>
          <w:lang w:val="en-US"/>
        </w:rPr>
        <w:t xml:space="preserve"> copies:</w:t>
      </w:r>
    </w:p>
    <w:p w14:paraId="3560CF93" w14:textId="77777777" w:rsidR="006F7269" w:rsidRPr="00E33E20" w:rsidRDefault="006F7269" w:rsidP="00241013">
      <w:pPr>
        <w:pStyle w:val="Loendilik"/>
        <w:numPr>
          <w:ilvl w:val="0"/>
          <w:numId w:val="3"/>
        </w:numPr>
        <w:autoSpaceDE w:val="0"/>
        <w:autoSpaceDN w:val="0"/>
        <w:adjustRightInd w:val="0"/>
        <w:spacing w:after="0" w:line="240" w:lineRule="auto"/>
        <w:jc w:val="both"/>
        <w:rPr>
          <w:rFonts w:cs="Arial"/>
          <w:sz w:val="24"/>
          <w:szCs w:val="24"/>
          <w:lang w:val="en-US"/>
        </w:rPr>
      </w:pPr>
      <w:r w:rsidRPr="00E33E20">
        <w:rPr>
          <w:rFonts w:cs="Arial"/>
          <w:sz w:val="24"/>
          <w:szCs w:val="24"/>
          <w:lang w:val="en-US"/>
        </w:rPr>
        <w:t>Estonian Employers’ Confederation</w:t>
      </w:r>
    </w:p>
    <w:p w14:paraId="5E08136A" w14:textId="77777777" w:rsidR="006F7269" w:rsidRPr="00E33E20" w:rsidRDefault="006F7269" w:rsidP="00241013">
      <w:pPr>
        <w:numPr>
          <w:ilvl w:val="0"/>
          <w:numId w:val="2"/>
        </w:numPr>
        <w:autoSpaceDE w:val="0"/>
        <w:autoSpaceDN w:val="0"/>
        <w:adjustRightInd w:val="0"/>
        <w:spacing w:after="0" w:line="240" w:lineRule="auto"/>
        <w:jc w:val="both"/>
        <w:rPr>
          <w:rFonts w:ascii="Arial" w:hAnsi="Arial" w:cs="Arial"/>
          <w:bCs/>
          <w:sz w:val="24"/>
          <w:szCs w:val="24"/>
          <w:lang w:val="en-US"/>
        </w:rPr>
      </w:pPr>
      <w:r w:rsidRPr="00E33E20">
        <w:rPr>
          <w:rFonts w:ascii="Arial" w:hAnsi="Arial" w:cs="Arial"/>
          <w:bCs/>
          <w:sz w:val="24"/>
          <w:szCs w:val="24"/>
          <w:lang w:val="en-US"/>
        </w:rPr>
        <w:t>Estonian Trade Union Confederation</w:t>
      </w:r>
    </w:p>
    <w:p w14:paraId="19F61D1D" w14:textId="77777777" w:rsidR="006F7269" w:rsidRPr="00E33E20" w:rsidRDefault="006F7269" w:rsidP="009174FD">
      <w:pPr>
        <w:spacing w:after="0" w:line="240" w:lineRule="auto"/>
        <w:jc w:val="both"/>
        <w:rPr>
          <w:rFonts w:ascii="Arial" w:hAnsi="Arial" w:cs="Arial"/>
          <w:bCs/>
          <w:sz w:val="24"/>
          <w:szCs w:val="24"/>
          <w:lang w:val="en-US"/>
        </w:rPr>
      </w:pPr>
    </w:p>
    <w:sectPr w:rsidR="006F7269" w:rsidRPr="00E33E2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C4E26" w14:textId="77777777" w:rsidR="00C05332" w:rsidRDefault="00C05332" w:rsidP="00453900">
      <w:pPr>
        <w:spacing w:after="0" w:line="240" w:lineRule="auto"/>
      </w:pPr>
      <w:r>
        <w:separator/>
      </w:r>
    </w:p>
  </w:endnote>
  <w:endnote w:type="continuationSeparator" w:id="0">
    <w:p w14:paraId="7767B05E" w14:textId="77777777" w:rsidR="00C05332" w:rsidRDefault="00C05332" w:rsidP="00453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panose1 w:val="02000000000000000000"/>
    <w:charset w:val="BA"/>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120591"/>
      <w:docPartObj>
        <w:docPartGallery w:val="Page Numbers (Bottom of Page)"/>
        <w:docPartUnique/>
      </w:docPartObj>
    </w:sdtPr>
    <w:sdtEndPr/>
    <w:sdtContent>
      <w:p w14:paraId="17B6529D" w14:textId="3E8787E9" w:rsidR="00DB45BD" w:rsidRDefault="00DB45BD">
        <w:pPr>
          <w:pStyle w:val="Jalus"/>
          <w:jc w:val="center"/>
        </w:pPr>
        <w:r>
          <w:fldChar w:fldCharType="begin"/>
        </w:r>
        <w:r>
          <w:instrText>PAGE   \* MERGEFORMAT</w:instrText>
        </w:r>
        <w:r>
          <w:fldChar w:fldCharType="separate"/>
        </w:r>
        <w:r>
          <w:rPr>
            <w:noProof/>
          </w:rPr>
          <w:t>1</w:t>
        </w:r>
        <w:r>
          <w:fldChar w:fldCharType="end"/>
        </w:r>
      </w:p>
    </w:sdtContent>
  </w:sdt>
  <w:p w14:paraId="4D7ABE84" w14:textId="77777777" w:rsidR="00DB45BD" w:rsidRDefault="00DB45B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6C7CB" w14:textId="77777777" w:rsidR="00C05332" w:rsidRDefault="00C05332" w:rsidP="00453900">
      <w:pPr>
        <w:spacing w:after="0" w:line="240" w:lineRule="auto"/>
      </w:pPr>
      <w:r>
        <w:separator/>
      </w:r>
    </w:p>
  </w:footnote>
  <w:footnote w:type="continuationSeparator" w:id="0">
    <w:p w14:paraId="7BDA53AF" w14:textId="77777777" w:rsidR="00C05332" w:rsidRDefault="00C05332" w:rsidP="00453900">
      <w:pPr>
        <w:spacing w:after="0" w:line="240" w:lineRule="auto"/>
      </w:pPr>
      <w:r>
        <w:continuationSeparator/>
      </w:r>
    </w:p>
  </w:footnote>
  <w:footnote w:id="1">
    <w:p w14:paraId="22A61171" w14:textId="63BC8B17" w:rsidR="00BB64D9" w:rsidRPr="00BB64D9" w:rsidRDefault="00BB64D9" w:rsidP="00021062">
      <w:pPr>
        <w:pStyle w:val="Allmrkusetekst"/>
        <w:jc w:val="both"/>
        <w:rPr>
          <w:lang w:val="en-US"/>
        </w:rPr>
      </w:pPr>
      <w:r>
        <w:rPr>
          <w:rStyle w:val="Allmrkuseviide"/>
        </w:rPr>
        <w:footnoteRef/>
      </w:r>
      <w:r>
        <w:t xml:space="preserve"> </w:t>
      </w:r>
      <w:r w:rsidRPr="00BB64D9">
        <w:rPr>
          <w:lang w:val="en-US"/>
        </w:rPr>
        <w:t xml:space="preserve">The homepage includes e.g. a detailed list of FAQ`s: </w:t>
      </w:r>
      <w:hyperlink r:id="rId1">
        <w:r w:rsidRPr="00BB64D9">
          <w:rPr>
            <w:rStyle w:val="Hperlink"/>
            <w:lang w:val="en-US"/>
          </w:rPr>
          <w:t>https://www.volinik.ee/en/faq.html</w:t>
        </w:r>
      </w:hyperlink>
      <w:r w:rsidRPr="00BB64D9">
        <w:rPr>
          <w:lang w:val="en-US"/>
        </w:rPr>
        <w:t xml:space="preserve">, specific information on the Gender Equality Act and the Equal Treatment Act: </w:t>
      </w:r>
      <w:hyperlink r:id="rId2">
        <w:r w:rsidRPr="00BB64D9">
          <w:rPr>
            <w:rStyle w:val="Hperlink"/>
            <w:lang w:val="en-US"/>
          </w:rPr>
          <w:t>https://www.volinik.ee/en/gender-equality.html</w:t>
        </w:r>
      </w:hyperlink>
      <w:r w:rsidRPr="00BB64D9">
        <w:rPr>
          <w:lang w:val="en-US"/>
        </w:rPr>
        <w:t xml:space="preserve">, information materials published: </w:t>
      </w:r>
      <w:hyperlink r:id="rId3">
        <w:r w:rsidRPr="00BB64D9">
          <w:rPr>
            <w:rStyle w:val="Hperlink"/>
            <w:lang w:val="en-US"/>
          </w:rPr>
          <w:t>https://www.volinik.ee/en/informational-materials.html</w:t>
        </w:r>
      </w:hyperlink>
      <w:r w:rsidRPr="00BB64D9">
        <w:rPr>
          <w:lang w:val="en-US"/>
        </w:rPr>
        <w:t xml:space="preserve"> but also yearly activity reports, analysis, information about opinions given, etc – see </w:t>
      </w:r>
      <w:hyperlink r:id="rId4">
        <w:r w:rsidRPr="00BB64D9">
          <w:rPr>
            <w:rStyle w:val="Hperlink"/>
            <w:lang w:val="en-US"/>
          </w:rPr>
          <w:t>https://www.volinik.ee/en.html</w:t>
        </w:r>
      </w:hyperlink>
      <w:r>
        <w:rPr>
          <w:lang w:val="en-US"/>
        </w:rPr>
        <w:t>.</w:t>
      </w:r>
    </w:p>
  </w:footnote>
  <w:footnote w:id="2">
    <w:p w14:paraId="622911B6" w14:textId="5B724F71" w:rsidR="008F606F" w:rsidRDefault="008F606F" w:rsidP="00021062">
      <w:pPr>
        <w:pStyle w:val="Allmrkusetekst"/>
        <w:jc w:val="both"/>
      </w:pPr>
      <w:r>
        <w:rPr>
          <w:rStyle w:val="Allmrkuseviide"/>
        </w:rPr>
        <w:footnoteRef/>
      </w:r>
      <w:r>
        <w:t xml:space="preserve"> </w:t>
      </w:r>
      <w:proofErr w:type="spellStart"/>
      <w:r>
        <w:t>Annual</w:t>
      </w:r>
      <w:proofErr w:type="spellEnd"/>
      <w:r>
        <w:t xml:space="preserve"> </w:t>
      </w:r>
      <w:proofErr w:type="spellStart"/>
      <w:r>
        <w:t>Report</w:t>
      </w:r>
      <w:proofErr w:type="spellEnd"/>
      <w:r>
        <w:t xml:space="preserve"> of Work </w:t>
      </w:r>
      <w:proofErr w:type="spellStart"/>
      <w:r>
        <w:t>Environment</w:t>
      </w:r>
      <w:proofErr w:type="spellEnd"/>
      <w:r>
        <w:t xml:space="preserve"> 2021, page 7. </w:t>
      </w:r>
      <w:hyperlink r:id="rId5" w:history="1">
        <w:r w:rsidRPr="000A5454">
          <w:rPr>
            <w:rStyle w:val="Hperlink"/>
          </w:rPr>
          <w:t>https://www.ti.ee/sites/default/files/documents/2022-08/Annual%20Report%20of%20Work%20Environment%202021.pdf</w:t>
        </w:r>
      </w:hyperlink>
      <w:r>
        <w:t xml:space="preserve">. </w:t>
      </w:r>
    </w:p>
  </w:footnote>
  <w:footnote w:id="3">
    <w:p w14:paraId="652E47DB" w14:textId="285BCD1A" w:rsidR="00021062" w:rsidRDefault="00021062" w:rsidP="00021062">
      <w:pPr>
        <w:pStyle w:val="Allmrkusetekst"/>
        <w:jc w:val="both"/>
      </w:pPr>
      <w:r>
        <w:rPr>
          <w:rStyle w:val="Allmrkuseviide"/>
        </w:rPr>
        <w:footnoteRef/>
      </w:r>
      <w:r>
        <w:t xml:space="preserve"> </w:t>
      </w:r>
      <w:proofErr w:type="spellStart"/>
      <w:r>
        <w:t>Statistics</w:t>
      </w:r>
      <w:proofErr w:type="spellEnd"/>
      <w:r>
        <w:t xml:space="preserve"> availabl</w:t>
      </w:r>
      <w:proofErr w:type="spellStart"/>
      <w:r>
        <w:t>e</w:t>
      </w:r>
      <w:proofErr w:type="spellEnd"/>
      <w:r>
        <w:t xml:space="preserve"> in Estonia: </w:t>
      </w:r>
      <w:hyperlink r:id="rId6" w:history="1">
        <w:r w:rsidRPr="000A5454">
          <w:rPr>
            <w:rStyle w:val="Hperlink"/>
          </w:rPr>
          <w:t>https://www.fin.ee/riigihaldus-ja-avalik-teenistus-kinnisvara/riigihaldus/avaliku-sektori-statistika#ametnike-palgaandmed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21F39"/>
    <w:multiLevelType w:val="hybridMultilevel"/>
    <w:tmpl w:val="EA88F7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FD57596"/>
    <w:multiLevelType w:val="multilevel"/>
    <w:tmpl w:val="7714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0828FE"/>
    <w:multiLevelType w:val="hybridMultilevel"/>
    <w:tmpl w:val="E298630E"/>
    <w:lvl w:ilvl="0" w:tplc="0B4CC4E4">
      <w:start w:val="1"/>
      <w:numFmt w:val="decimal"/>
      <w:lvlText w:val="(%1)"/>
      <w:lvlJc w:val="left"/>
      <w:pPr>
        <w:ind w:left="770" w:hanging="4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C446AA6"/>
    <w:multiLevelType w:val="multilevel"/>
    <w:tmpl w:val="58F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3D1A1A"/>
    <w:multiLevelType w:val="hybridMultilevel"/>
    <w:tmpl w:val="2E12C0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BA91383"/>
    <w:multiLevelType w:val="multilevel"/>
    <w:tmpl w:val="764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02561C"/>
    <w:multiLevelType w:val="hybridMultilevel"/>
    <w:tmpl w:val="540A84D6"/>
    <w:lvl w:ilvl="0" w:tplc="FBB848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62B4913"/>
    <w:multiLevelType w:val="hybridMultilevel"/>
    <w:tmpl w:val="1ECCD4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79249004">
    <w:abstractNumId w:val="4"/>
  </w:num>
  <w:num w:numId="2" w16cid:durableId="1294407336">
    <w:abstractNumId w:val="0"/>
  </w:num>
  <w:num w:numId="3" w16cid:durableId="1625235319">
    <w:abstractNumId w:val="7"/>
  </w:num>
  <w:num w:numId="4" w16cid:durableId="1995528145">
    <w:abstractNumId w:val="5"/>
  </w:num>
  <w:num w:numId="5" w16cid:durableId="908341654">
    <w:abstractNumId w:val="3"/>
  </w:num>
  <w:num w:numId="6" w16cid:durableId="1999111179">
    <w:abstractNumId w:val="1"/>
  </w:num>
  <w:num w:numId="7" w16cid:durableId="1951281091">
    <w:abstractNumId w:val="6"/>
  </w:num>
  <w:num w:numId="8" w16cid:durableId="211663276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0A3"/>
    <w:rsid w:val="00000354"/>
    <w:rsid w:val="00004504"/>
    <w:rsid w:val="0001608B"/>
    <w:rsid w:val="00017974"/>
    <w:rsid w:val="00021062"/>
    <w:rsid w:val="00022735"/>
    <w:rsid w:val="00035239"/>
    <w:rsid w:val="00043C09"/>
    <w:rsid w:val="00054859"/>
    <w:rsid w:val="00061EC6"/>
    <w:rsid w:val="00062066"/>
    <w:rsid w:val="00062E97"/>
    <w:rsid w:val="000632FD"/>
    <w:rsid w:val="0006364E"/>
    <w:rsid w:val="0006512E"/>
    <w:rsid w:val="0006536A"/>
    <w:rsid w:val="00072AC3"/>
    <w:rsid w:val="00074BFC"/>
    <w:rsid w:val="00075658"/>
    <w:rsid w:val="00077454"/>
    <w:rsid w:val="00083ACB"/>
    <w:rsid w:val="000847E4"/>
    <w:rsid w:val="0009300C"/>
    <w:rsid w:val="000958EE"/>
    <w:rsid w:val="000970AD"/>
    <w:rsid w:val="00097E8D"/>
    <w:rsid w:val="000A246B"/>
    <w:rsid w:val="000A25F4"/>
    <w:rsid w:val="000B4745"/>
    <w:rsid w:val="000B4890"/>
    <w:rsid w:val="000C54FE"/>
    <w:rsid w:val="000D00D0"/>
    <w:rsid w:val="000D5483"/>
    <w:rsid w:val="000D7102"/>
    <w:rsid w:val="000D7250"/>
    <w:rsid w:val="00100B93"/>
    <w:rsid w:val="00111AF4"/>
    <w:rsid w:val="00113C93"/>
    <w:rsid w:val="0011700E"/>
    <w:rsid w:val="0011704D"/>
    <w:rsid w:val="00124990"/>
    <w:rsid w:val="00131740"/>
    <w:rsid w:val="00141A2D"/>
    <w:rsid w:val="00150BF4"/>
    <w:rsid w:val="00152254"/>
    <w:rsid w:val="00154DD9"/>
    <w:rsid w:val="001573E8"/>
    <w:rsid w:val="00163322"/>
    <w:rsid w:val="0017309B"/>
    <w:rsid w:val="00187756"/>
    <w:rsid w:val="00196683"/>
    <w:rsid w:val="00197BAA"/>
    <w:rsid w:val="00197DB8"/>
    <w:rsid w:val="001A049A"/>
    <w:rsid w:val="001A1E70"/>
    <w:rsid w:val="001A668A"/>
    <w:rsid w:val="001B0269"/>
    <w:rsid w:val="001C2C34"/>
    <w:rsid w:val="001C4F16"/>
    <w:rsid w:val="001D43AF"/>
    <w:rsid w:val="001D4D65"/>
    <w:rsid w:val="001D5087"/>
    <w:rsid w:val="001D59AC"/>
    <w:rsid w:val="001D61DE"/>
    <w:rsid w:val="001D6A3A"/>
    <w:rsid w:val="001E00ED"/>
    <w:rsid w:val="001E3DEA"/>
    <w:rsid w:val="001E531A"/>
    <w:rsid w:val="001E6F2D"/>
    <w:rsid w:val="001F4CCA"/>
    <w:rsid w:val="001F54F8"/>
    <w:rsid w:val="00203A25"/>
    <w:rsid w:val="0021025B"/>
    <w:rsid w:val="00214ED2"/>
    <w:rsid w:val="002218C5"/>
    <w:rsid w:val="002226D1"/>
    <w:rsid w:val="00222D0E"/>
    <w:rsid w:val="002233B2"/>
    <w:rsid w:val="00223ECA"/>
    <w:rsid w:val="00224110"/>
    <w:rsid w:val="002330F1"/>
    <w:rsid w:val="0023313A"/>
    <w:rsid w:val="002337F9"/>
    <w:rsid w:val="00240A17"/>
    <w:rsid w:val="00241013"/>
    <w:rsid w:val="0024441F"/>
    <w:rsid w:val="00250ECE"/>
    <w:rsid w:val="00251BBA"/>
    <w:rsid w:val="00252EA3"/>
    <w:rsid w:val="00253936"/>
    <w:rsid w:val="00266221"/>
    <w:rsid w:val="00277D0B"/>
    <w:rsid w:val="00280961"/>
    <w:rsid w:val="00280A56"/>
    <w:rsid w:val="002862D0"/>
    <w:rsid w:val="002908CD"/>
    <w:rsid w:val="002941C5"/>
    <w:rsid w:val="002943C2"/>
    <w:rsid w:val="002A23C2"/>
    <w:rsid w:val="002A33AA"/>
    <w:rsid w:val="002B11F8"/>
    <w:rsid w:val="002B52D5"/>
    <w:rsid w:val="002B6084"/>
    <w:rsid w:val="002B7149"/>
    <w:rsid w:val="002C40CD"/>
    <w:rsid w:val="002C7A59"/>
    <w:rsid w:val="002D1194"/>
    <w:rsid w:val="002D39F5"/>
    <w:rsid w:val="002D7D63"/>
    <w:rsid w:val="002E0A91"/>
    <w:rsid w:val="002E3624"/>
    <w:rsid w:val="002E38D9"/>
    <w:rsid w:val="002F0B8F"/>
    <w:rsid w:val="0031211B"/>
    <w:rsid w:val="003170D5"/>
    <w:rsid w:val="00320CDB"/>
    <w:rsid w:val="00323086"/>
    <w:rsid w:val="003375FF"/>
    <w:rsid w:val="00340B8E"/>
    <w:rsid w:val="003424D8"/>
    <w:rsid w:val="00345A36"/>
    <w:rsid w:val="0034751C"/>
    <w:rsid w:val="003514FB"/>
    <w:rsid w:val="00357DCA"/>
    <w:rsid w:val="003634EC"/>
    <w:rsid w:val="00370DD2"/>
    <w:rsid w:val="00373AE0"/>
    <w:rsid w:val="003857D0"/>
    <w:rsid w:val="00385CB0"/>
    <w:rsid w:val="003913C9"/>
    <w:rsid w:val="00391C31"/>
    <w:rsid w:val="0039369B"/>
    <w:rsid w:val="00397AE5"/>
    <w:rsid w:val="003A0043"/>
    <w:rsid w:val="003A031F"/>
    <w:rsid w:val="003A0891"/>
    <w:rsid w:val="003A12BB"/>
    <w:rsid w:val="003A16E8"/>
    <w:rsid w:val="003A1BB9"/>
    <w:rsid w:val="003A29A2"/>
    <w:rsid w:val="003A385A"/>
    <w:rsid w:val="003B09F8"/>
    <w:rsid w:val="003B4A83"/>
    <w:rsid w:val="003C3683"/>
    <w:rsid w:val="003D28BC"/>
    <w:rsid w:val="003D41A2"/>
    <w:rsid w:val="003D65F6"/>
    <w:rsid w:val="003E0A44"/>
    <w:rsid w:val="003E65AA"/>
    <w:rsid w:val="00404C69"/>
    <w:rsid w:val="00406461"/>
    <w:rsid w:val="00406F96"/>
    <w:rsid w:val="0041256B"/>
    <w:rsid w:val="00412F06"/>
    <w:rsid w:val="00420996"/>
    <w:rsid w:val="00421A28"/>
    <w:rsid w:val="00431514"/>
    <w:rsid w:val="004378FF"/>
    <w:rsid w:val="00437900"/>
    <w:rsid w:val="004412C4"/>
    <w:rsid w:val="00442FEB"/>
    <w:rsid w:val="00453900"/>
    <w:rsid w:val="00453D69"/>
    <w:rsid w:val="00462561"/>
    <w:rsid w:val="004640A3"/>
    <w:rsid w:val="00464C88"/>
    <w:rsid w:val="0047225B"/>
    <w:rsid w:val="00474629"/>
    <w:rsid w:val="00474831"/>
    <w:rsid w:val="00476C34"/>
    <w:rsid w:val="00481144"/>
    <w:rsid w:val="00481425"/>
    <w:rsid w:val="00481D47"/>
    <w:rsid w:val="00484308"/>
    <w:rsid w:val="00493297"/>
    <w:rsid w:val="004A1BBC"/>
    <w:rsid w:val="004A32B7"/>
    <w:rsid w:val="004A5F4F"/>
    <w:rsid w:val="004B250B"/>
    <w:rsid w:val="004B28F1"/>
    <w:rsid w:val="004B54A8"/>
    <w:rsid w:val="004C03CD"/>
    <w:rsid w:val="004C101C"/>
    <w:rsid w:val="004C530B"/>
    <w:rsid w:val="004C6598"/>
    <w:rsid w:val="004C75EE"/>
    <w:rsid w:val="004E237E"/>
    <w:rsid w:val="004F3DC1"/>
    <w:rsid w:val="00503059"/>
    <w:rsid w:val="00510A53"/>
    <w:rsid w:val="00513830"/>
    <w:rsid w:val="0052189D"/>
    <w:rsid w:val="00523A1B"/>
    <w:rsid w:val="00531D1F"/>
    <w:rsid w:val="00540326"/>
    <w:rsid w:val="0054630D"/>
    <w:rsid w:val="00555E03"/>
    <w:rsid w:val="00570759"/>
    <w:rsid w:val="00570922"/>
    <w:rsid w:val="00570F56"/>
    <w:rsid w:val="0059117B"/>
    <w:rsid w:val="00593EDF"/>
    <w:rsid w:val="00594576"/>
    <w:rsid w:val="005A0EC5"/>
    <w:rsid w:val="005A6741"/>
    <w:rsid w:val="005B27FD"/>
    <w:rsid w:val="005B2950"/>
    <w:rsid w:val="005B4451"/>
    <w:rsid w:val="005B7F6A"/>
    <w:rsid w:val="005D1CCB"/>
    <w:rsid w:val="005D497B"/>
    <w:rsid w:val="005D7702"/>
    <w:rsid w:val="005D7B7C"/>
    <w:rsid w:val="005E041A"/>
    <w:rsid w:val="005E07F0"/>
    <w:rsid w:val="005E1B11"/>
    <w:rsid w:val="005E7609"/>
    <w:rsid w:val="005F0911"/>
    <w:rsid w:val="005F1543"/>
    <w:rsid w:val="005F20D0"/>
    <w:rsid w:val="005F5D2F"/>
    <w:rsid w:val="005F7940"/>
    <w:rsid w:val="0061196F"/>
    <w:rsid w:val="006127C5"/>
    <w:rsid w:val="0061327F"/>
    <w:rsid w:val="00634C7F"/>
    <w:rsid w:val="006433C2"/>
    <w:rsid w:val="006564A4"/>
    <w:rsid w:val="00657099"/>
    <w:rsid w:val="00657E52"/>
    <w:rsid w:val="00665CAE"/>
    <w:rsid w:val="0067080B"/>
    <w:rsid w:val="0067213D"/>
    <w:rsid w:val="00672C9F"/>
    <w:rsid w:val="00676C19"/>
    <w:rsid w:val="00680F04"/>
    <w:rsid w:val="00681CDF"/>
    <w:rsid w:val="0068305D"/>
    <w:rsid w:val="00686A19"/>
    <w:rsid w:val="006A1B72"/>
    <w:rsid w:val="006A736C"/>
    <w:rsid w:val="006B1FBE"/>
    <w:rsid w:val="006B6029"/>
    <w:rsid w:val="006C0078"/>
    <w:rsid w:val="006C0B09"/>
    <w:rsid w:val="006C1BFB"/>
    <w:rsid w:val="006C47A1"/>
    <w:rsid w:val="006C5054"/>
    <w:rsid w:val="006E093A"/>
    <w:rsid w:val="006E0C16"/>
    <w:rsid w:val="006F3D4C"/>
    <w:rsid w:val="006F4AE2"/>
    <w:rsid w:val="006F4EC9"/>
    <w:rsid w:val="006F7269"/>
    <w:rsid w:val="0070763C"/>
    <w:rsid w:val="00711A8F"/>
    <w:rsid w:val="007121C4"/>
    <w:rsid w:val="007131F1"/>
    <w:rsid w:val="00720D73"/>
    <w:rsid w:val="007223A6"/>
    <w:rsid w:val="00725199"/>
    <w:rsid w:val="00732A7F"/>
    <w:rsid w:val="00732CB7"/>
    <w:rsid w:val="00732D00"/>
    <w:rsid w:val="0073335A"/>
    <w:rsid w:val="00742275"/>
    <w:rsid w:val="00746C7E"/>
    <w:rsid w:val="007533BF"/>
    <w:rsid w:val="00754E6C"/>
    <w:rsid w:val="0076603D"/>
    <w:rsid w:val="00771864"/>
    <w:rsid w:val="0077188C"/>
    <w:rsid w:val="00773878"/>
    <w:rsid w:val="0077794E"/>
    <w:rsid w:val="007802A4"/>
    <w:rsid w:val="007813E2"/>
    <w:rsid w:val="00783420"/>
    <w:rsid w:val="00787E10"/>
    <w:rsid w:val="00792282"/>
    <w:rsid w:val="00793720"/>
    <w:rsid w:val="00796F4C"/>
    <w:rsid w:val="007A0D21"/>
    <w:rsid w:val="007A2CA9"/>
    <w:rsid w:val="007A5BA1"/>
    <w:rsid w:val="007A6BC0"/>
    <w:rsid w:val="007C1A8A"/>
    <w:rsid w:val="007C7860"/>
    <w:rsid w:val="007D092A"/>
    <w:rsid w:val="007F47EF"/>
    <w:rsid w:val="0080400F"/>
    <w:rsid w:val="0080643A"/>
    <w:rsid w:val="00815ECE"/>
    <w:rsid w:val="00817D48"/>
    <w:rsid w:val="00820860"/>
    <w:rsid w:val="008322BA"/>
    <w:rsid w:val="0083258D"/>
    <w:rsid w:val="00832DB1"/>
    <w:rsid w:val="0083478E"/>
    <w:rsid w:val="008358ED"/>
    <w:rsid w:val="00841B3C"/>
    <w:rsid w:val="00841BBF"/>
    <w:rsid w:val="00851036"/>
    <w:rsid w:val="008529FC"/>
    <w:rsid w:val="00857EF9"/>
    <w:rsid w:val="00865208"/>
    <w:rsid w:val="00887CD8"/>
    <w:rsid w:val="008B06BF"/>
    <w:rsid w:val="008C5C27"/>
    <w:rsid w:val="008C6B15"/>
    <w:rsid w:val="008C77A3"/>
    <w:rsid w:val="008D1957"/>
    <w:rsid w:val="008D399B"/>
    <w:rsid w:val="008D47CF"/>
    <w:rsid w:val="008F48F5"/>
    <w:rsid w:val="008F606F"/>
    <w:rsid w:val="0091071F"/>
    <w:rsid w:val="00911446"/>
    <w:rsid w:val="009150A2"/>
    <w:rsid w:val="009154BB"/>
    <w:rsid w:val="009174FD"/>
    <w:rsid w:val="00922256"/>
    <w:rsid w:val="0092452D"/>
    <w:rsid w:val="00930544"/>
    <w:rsid w:val="009305A7"/>
    <w:rsid w:val="00934961"/>
    <w:rsid w:val="00940B38"/>
    <w:rsid w:val="00943D3A"/>
    <w:rsid w:val="009502F0"/>
    <w:rsid w:val="00950A5A"/>
    <w:rsid w:val="00952246"/>
    <w:rsid w:val="0095617E"/>
    <w:rsid w:val="00967173"/>
    <w:rsid w:val="009677BB"/>
    <w:rsid w:val="00967E76"/>
    <w:rsid w:val="0097145A"/>
    <w:rsid w:val="00976896"/>
    <w:rsid w:val="00980F1E"/>
    <w:rsid w:val="00992E45"/>
    <w:rsid w:val="00994358"/>
    <w:rsid w:val="009949A2"/>
    <w:rsid w:val="00996A5F"/>
    <w:rsid w:val="00997506"/>
    <w:rsid w:val="009A157B"/>
    <w:rsid w:val="009A4899"/>
    <w:rsid w:val="009A56F4"/>
    <w:rsid w:val="009E11B4"/>
    <w:rsid w:val="009E3CFC"/>
    <w:rsid w:val="009E5ADC"/>
    <w:rsid w:val="009F16CD"/>
    <w:rsid w:val="009F450A"/>
    <w:rsid w:val="009F5F56"/>
    <w:rsid w:val="009F6F57"/>
    <w:rsid w:val="00A002D3"/>
    <w:rsid w:val="00A00391"/>
    <w:rsid w:val="00A057B2"/>
    <w:rsid w:val="00A10C37"/>
    <w:rsid w:val="00A16D0B"/>
    <w:rsid w:val="00A23061"/>
    <w:rsid w:val="00A25058"/>
    <w:rsid w:val="00A33240"/>
    <w:rsid w:val="00A3609F"/>
    <w:rsid w:val="00A37458"/>
    <w:rsid w:val="00A406CC"/>
    <w:rsid w:val="00A470A0"/>
    <w:rsid w:val="00A52F41"/>
    <w:rsid w:val="00A66546"/>
    <w:rsid w:val="00A67E14"/>
    <w:rsid w:val="00A82BA5"/>
    <w:rsid w:val="00A85163"/>
    <w:rsid w:val="00A8604A"/>
    <w:rsid w:val="00A90780"/>
    <w:rsid w:val="00A90D8F"/>
    <w:rsid w:val="00A95DDC"/>
    <w:rsid w:val="00A961FC"/>
    <w:rsid w:val="00AA0B8F"/>
    <w:rsid w:val="00AA1E92"/>
    <w:rsid w:val="00AA63DF"/>
    <w:rsid w:val="00AA714E"/>
    <w:rsid w:val="00AB47FF"/>
    <w:rsid w:val="00AB4AF9"/>
    <w:rsid w:val="00AC150C"/>
    <w:rsid w:val="00AC18A4"/>
    <w:rsid w:val="00AC2845"/>
    <w:rsid w:val="00AC6F72"/>
    <w:rsid w:val="00AD26B2"/>
    <w:rsid w:val="00AD2ABD"/>
    <w:rsid w:val="00AD5420"/>
    <w:rsid w:val="00AE156E"/>
    <w:rsid w:val="00AE5F57"/>
    <w:rsid w:val="00AE6E8A"/>
    <w:rsid w:val="00AE7FFA"/>
    <w:rsid w:val="00AF4C42"/>
    <w:rsid w:val="00B01893"/>
    <w:rsid w:val="00B0215B"/>
    <w:rsid w:val="00B02B5F"/>
    <w:rsid w:val="00B04E2A"/>
    <w:rsid w:val="00B10804"/>
    <w:rsid w:val="00B22242"/>
    <w:rsid w:val="00B30900"/>
    <w:rsid w:val="00B4157B"/>
    <w:rsid w:val="00B47D84"/>
    <w:rsid w:val="00B52A5B"/>
    <w:rsid w:val="00B52F17"/>
    <w:rsid w:val="00B53569"/>
    <w:rsid w:val="00B56300"/>
    <w:rsid w:val="00B57E21"/>
    <w:rsid w:val="00B63143"/>
    <w:rsid w:val="00B6688B"/>
    <w:rsid w:val="00B679FC"/>
    <w:rsid w:val="00B81B65"/>
    <w:rsid w:val="00B83AB1"/>
    <w:rsid w:val="00B83C24"/>
    <w:rsid w:val="00B84B37"/>
    <w:rsid w:val="00B92D3C"/>
    <w:rsid w:val="00BA5559"/>
    <w:rsid w:val="00BA5791"/>
    <w:rsid w:val="00BA70C0"/>
    <w:rsid w:val="00BB0078"/>
    <w:rsid w:val="00BB16A5"/>
    <w:rsid w:val="00BB2344"/>
    <w:rsid w:val="00BB4408"/>
    <w:rsid w:val="00BB64D9"/>
    <w:rsid w:val="00BB7BD8"/>
    <w:rsid w:val="00BE1755"/>
    <w:rsid w:val="00BE1C3F"/>
    <w:rsid w:val="00BE3B0C"/>
    <w:rsid w:val="00BE45C6"/>
    <w:rsid w:val="00BF08C1"/>
    <w:rsid w:val="00BF27E2"/>
    <w:rsid w:val="00C00BF2"/>
    <w:rsid w:val="00C03F6A"/>
    <w:rsid w:val="00C05332"/>
    <w:rsid w:val="00C06141"/>
    <w:rsid w:val="00C10366"/>
    <w:rsid w:val="00C12D4C"/>
    <w:rsid w:val="00C1309E"/>
    <w:rsid w:val="00C16531"/>
    <w:rsid w:val="00C173FE"/>
    <w:rsid w:val="00C26ADF"/>
    <w:rsid w:val="00C32CB0"/>
    <w:rsid w:val="00C33B0A"/>
    <w:rsid w:val="00C47810"/>
    <w:rsid w:val="00C54435"/>
    <w:rsid w:val="00C54810"/>
    <w:rsid w:val="00C56047"/>
    <w:rsid w:val="00C61BDB"/>
    <w:rsid w:val="00C62582"/>
    <w:rsid w:val="00C67C15"/>
    <w:rsid w:val="00C73D67"/>
    <w:rsid w:val="00C75DCA"/>
    <w:rsid w:val="00C760AA"/>
    <w:rsid w:val="00C8073E"/>
    <w:rsid w:val="00C84888"/>
    <w:rsid w:val="00C90454"/>
    <w:rsid w:val="00C91CEF"/>
    <w:rsid w:val="00C9268B"/>
    <w:rsid w:val="00CA0F88"/>
    <w:rsid w:val="00CB2D6F"/>
    <w:rsid w:val="00CB48E7"/>
    <w:rsid w:val="00CB56E0"/>
    <w:rsid w:val="00CB5C46"/>
    <w:rsid w:val="00CB61F7"/>
    <w:rsid w:val="00CB68EC"/>
    <w:rsid w:val="00CC6BB9"/>
    <w:rsid w:val="00CE7A05"/>
    <w:rsid w:val="00CF046F"/>
    <w:rsid w:val="00CF1E9C"/>
    <w:rsid w:val="00CF4085"/>
    <w:rsid w:val="00CF4872"/>
    <w:rsid w:val="00D0325A"/>
    <w:rsid w:val="00D269B7"/>
    <w:rsid w:val="00D2758A"/>
    <w:rsid w:val="00D4159E"/>
    <w:rsid w:val="00D417A4"/>
    <w:rsid w:val="00D4392F"/>
    <w:rsid w:val="00D57AC4"/>
    <w:rsid w:val="00D62BF2"/>
    <w:rsid w:val="00D6745A"/>
    <w:rsid w:val="00D6764C"/>
    <w:rsid w:val="00D74BC9"/>
    <w:rsid w:val="00D7648B"/>
    <w:rsid w:val="00D84D2B"/>
    <w:rsid w:val="00D907F5"/>
    <w:rsid w:val="00D9358C"/>
    <w:rsid w:val="00DA5287"/>
    <w:rsid w:val="00DB3D86"/>
    <w:rsid w:val="00DB45BD"/>
    <w:rsid w:val="00DC3BFA"/>
    <w:rsid w:val="00DC4D59"/>
    <w:rsid w:val="00DC53D0"/>
    <w:rsid w:val="00DC6529"/>
    <w:rsid w:val="00DC7EA9"/>
    <w:rsid w:val="00DD05E0"/>
    <w:rsid w:val="00DD061D"/>
    <w:rsid w:val="00DD3153"/>
    <w:rsid w:val="00DD45D1"/>
    <w:rsid w:val="00DD6AD1"/>
    <w:rsid w:val="00DD7790"/>
    <w:rsid w:val="00DE2EC2"/>
    <w:rsid w:val="00DF0E56"/>
    <w:rsid w:val="00DF3299"/>
    <w:rsid w:val="00E02533"/>
    <w:rsid w:val="00E077D9"/>
    <w:rsid w:val="00E15060"/>
    <w:rsid w:val="00E2307F"/>
    <w:rsid w:val="00E2471F"/>
    <w:rsid w:val="00E25BDB"/>
    <w:rsid w:val="00E312D5"/>
    <w:rsid w:val="00E33E20"/>
    <w:rsid w:val="00E37186"/>
    <w:rsid w:val="00E43BA1"/>
    <w:rsid w:val="00E43D23"/>
    <w:rsid w:val="00E45569"/>
    <w:rsid w:val="00E55869"/>
    <w:rsid w:val="00E60311"/>
    <w:rsid w:val="00E61C34"/>
    <w:rsid w:val="00E70244"/>
    <w:rsid w:val="00E7582B"/>
    <w:rsid w:val="00E8208E"/>
    <w:rsid w:val="00E858DE"/>
    <w:rsid w:val="00E86D4D"/>
    <w:rsid w:val="00E9639E"/>
    <w:rsid w:val="00E972F4"/>
    <w:rsid w:val="00EA6713"/>
    <w:rsid w:val="00EB1F59"/>
    <w:rsid w:val="00EB320A"/>
    <w:rsid w:val="00ED0E0A"/>
    <w:rsid w:val="00ED5FA5"/>
    <w:rsid w:val="00ED6079"/>
    <w:rsid w:val="00EF1F77"/>
    <w:rsid w:val="00EF74D8"/>
    <w:rsid w:val="00F02C5F"/>
    <w:rsid w:val="00F03646"/>
    <w:rsid w:val="00F0402C"/>
    <w:rsid w:val="00F10DE7"/>
    <w:rsid w:val="00F12532"/>
    <w:rsid w:val="00F23398"/>
    <w:rsid w:val="00F27150"/>
    <w:rsid w:val="00F53DF8"/>
    <w:rsid w:val="00F55952"/>
    <w:rsid w:val="00F57D9C"/>
    <w:rsid w:val="00F67AFD"/>
    <w:rsid w:val="00F768E6"/>
    <w:rsid w:val="00F77519"/>
    <w:rsid w:val="00F81D17"/>
    <w:rsid w:val="00F861D3"/>
    <w:rsid w:val="00F92DD1"/>
    <w:rsid w:val="00FA26CD"/>
    <w:rsid w:val="00FB08C6"/>
    <w:rsid w:val="00FB2568"/>
    <w:rsid w:val="00FB61E3"/>
    <w:rsid w:val="00FD13D1"/>
    <w:rsid w:val="00FD3D3D"/>
    <w:rsid w:val="00FE2DA0"/>
    <w:rsid w:val="00FE391C"/>
    <w:rsid w:val="00FE6E3A"/>
    <w:rsid w:val="00FF0CEF"/>
    <w:rsid w:val="00FF227A"/>
    <w:rsid w:val="00FF41EE"/>
    <w:rsid w:val="2F7BEFD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84CD"/>
  <w15:chartTrackingRefBased/>
  <w15:docId w15:val="{A7954EB6-5325-4D57-BFB4-8506F417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70DD2"/>
  </w:style>
  <w:style w:type="paragraph" w:styleId="Pealkiri1">
    <w:name w:val="heading 1"/>
    <w:basedOn w:val="Normaallaad"/>
    <w:next w:val="Normaallaad"/>
    <w:link w:val="Pealkiri1Mrk"/>
    <w:uiPriority w:val="9"/>
    <w:qFormat/>
    <w:rsid w:val="00DB45BD"/>
    <w:pPr>
      <w:keepNext/>
      <w:keepLines/>
      <w:spacing w:before="240" w:after="0" w:line="360" w:lineRule="auto"/>
      <w:outlineLvl w:val="0"/>
    </w:pPr>
    <w:rPr>
      <w:rFonts w:ascii="Times New Roman" w:eastAsiaTheme="majorEastAsia" w:hAnsi="Times New Roman" w:cstheme="majorBidi"/>
      <w:b/>
      <w:sz w:val="24"/>
      <w:szCs w:val="32"/>
    </w:rPr>
  </w:style>
  <w:style w:type="paragraph" w:styleId="Pealkiri2">
    <w:name w:val="heading 2"/>
    <w:basedOn w:val="Normaallaad"/>
    <w:next w:val="Normaallaad"/>
    <w:link w:val="Pealkiri2Mrk"/>
    <w:uiPriority w:val="9"/>
    <w:semiHidden/>
    <w:unhideWhenUsed/>
    <w:qFormat/>
    <w:rsid w:val="006C50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ED5F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Pealkiri4">
    <w:name w:val="heading 4"/>
    <w:basedOn w:val="Normaallaad"/>
    <w:next w:val="Normaallaad"/>
    <w:link w:val="Pealkiri4Mrk"/>
    <w:uiPriority w:val="9"/>
    <w:unhideWhenUsed/>
    <w:qFormat/>
    <w:rsid w:val="00DB45BD"/>
    <w:pPr>
      <w:keepNext/>
      <w:keepLines/>
      <w:spacing w:before="40" w:after="0"/>
      <w:jc w:val="both"/>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5F0911"/>
    <w:rPr>
      <w:sz w:val="16"/>
      <w:szCs w:val="16"/>
    </w:rPr>
  </w:style>
  <w:style w:type="paragraph" w:styleId="Kommentaaritekst">
    <w:name w:val="annotation text"/>
    <w:basedOn w:val="Normaallaad"/>
    <w:link w:val="KommentaaritekstMrk"/>
    <w:uiPriority w:val="99"/>
    <w:unhideWhenUsed/>
    <w:rsid w:val="005F0911"/>
    <w:pPr>
      <w:spacing w:line="240" w:lineRule="auto"/>
    </w:pPr>
    <w:rPr>
      <w:sz w:val="20"/>
      <w:szCs w:val="20"/>
    </w:rPr>
  </w:style>
  <w:style w:type="character" w:customStyle="1" w:styleId="KommentaaritekstMrk">
    <w:name w:val="Kommentaari tekst Märk"/>
    <w:basedOn w:val="Liguvaikefont"/>
    <w:link w:val="Kommentaaritekst"/>
    <w:uiPriority w:val="99"/>
    <w:rsid w:val="005F0911"/>
    <w:rPr>
      <w:sz w:val="20"/>
      <w:szCs w:val="20"/>
    </w:rPr>
  </w:style>
  <w:style w:type="paragraph" w:styleId="Kommentaariteema">
    <w:name w:val="annotation subject"/>
    <w:basedOn w:val="Kommentaaritekst"/>
    <w:next w:val="Kommentaaritekst"/>
    <w:link w:val="KommentaariteemaMrk"/>
    <w:uiPriority w:val="99"/>
    <w:semiHidden/>
    <w:unhideWhenUsed/>
    <w:rsid w:val="005F0911"/>
    <w:rPr>
      <w:b/>
      <w:bCs/>
    </w:rPr>
  </w:style>
  <w:style w:type="character" w:customStyle="1" w:styleId="KommentaariteemaMrk">
    <w:name w:val="Kommentaari teema Märk"/>
    <w:basedOn w:val="KommentaaritekstMrk"/>
    <w:link w:val="Kommentaariteema"/>
    <w:uiPriority w:val="99"/>
    <w:semiHidden/>
    <w:rsid w:val="005F0911"/>
    <w:rPr>
      <w:b/>
      <w:bCs/>
      <w:sz w:val="20"/>
      <w:szCs w:val="20"/>
    </w:rPr>
  </w:style>
  <w:style w:type="paragraph" w:styleId="Jutumullitekst">
    <w:name w:val="Balloon Text"/>
    <w:basedOn w:val="Normaallaad"/>
    <w:link w:val="JutumullitekstMrk"/>
    <w:uiPriority w:val="99"/>
    <w:semiHidden/>
    <w:unhideWhenUsed/>
    <w:rsid w:val="005F091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F0911"/>
    <w:rPr>
      <w:rFonts w:ascii="Segoe UI" w:hAnsi="Segoe UI" w:cs="Segoe UI"/>
      <w:sz w:val="18"/>
      <w:szCs w:val="18"/>
    </w:rPr>
  </w:style>
  <w:style w:type="paragraph" w:styleId="Loendilik">
    <w:name w:val="List Paragraph"/>
    <w:basedOn w:val="Normaallaad"/>
    <w:link w:val="LoendilikMrk"/>
    <w:uiPriority w:val="34"/>
    <w:qFormat/>
    <w:rsid w:val="00A95DDC"/>
    <w:pPr>
      <w:spacing w:after="200" w:line="276" w:lineRule="auto"/>
      <w:ind w:left="720"/>
      <w:contextualSpacing/>
    </w:pPr>
    <w:rPr>
      <w:rFonts w:ascii="Arial" w:eastAsia="Times New Roman" w:hAnsi="Arial" w:cs="Times New Roman"/>
      <w:szCs w:val="20"/>
      <w:lang w:eastAsia="et-EE"/>
    </w:rPr>
  </w:style>
  <w:style w:type="character" w:customStyle="1" w:styleId="LoendilikMrk">
    <w:name w:val="Loendi lõik Märk"/>
    <w:link w:val="Loendilik"/>
    <w:uiPriority w:val="34"/>
    <w:locked/>
    <w:rsid w:val="00A95DDC"/>
    <w:rPr>
      <w:rFonts w:ascii="Arial" w:eastAsia="Times New Roman" w:hAnsi="Arial" w:cs="Times New Roman"/>
      <w:szCs w:val="20"/>
      <w:lang w:eastAsia="et-EE"/>
    </w:rPr>
  </w:style>
  <w:style w:type="paragraph" w:styleId="Normaallaadveeb">
    <w:name w:val="Normal (Web)"/>
    <w:basedOn w:val="Normaallaad"/>
    <w:uiPriority w:val="99"/>
    <w:semiHidden/>
    <w:unhideWhenUsed/>
    <w:rsid w:val="00A95DDC"/>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Default">
    <w:name w:val="Default"/>
    <w:rsid w:val="00A95DDC"/>
    <w:pPr>
      <w:autoSpaceDE w:val="0"/>
      <w:autoSpaceDN w:val="0"/>
      <w:adjustRightInd w:val="0"/>
      <w:spacing w:after="0" w:line="240" w:lineRule="auto"/>
    </w:pPr>
    <w:rPr>
      <w:rFonts w:ascii="Roboto" w:hAnsi="Roboto" w:cs="Roboto"/>
      <w:color w:val="000000"/>
      <w:sz w:val="24"/>
      <w:szCs w:val="24"/>
    </w:rPr>
  </w:style>
  <w:style w:type="character" w:styleId="Hperlink">
    <w:name w:val="Hyperlink"/>
    <w:basedOn w:val="Liguvaikefont"/>
    <w:uiPriority w:val="99"/>
    <w:unhideWhenUsed/>
    <w:rsid w:val="0076603D"/>
    <w:rPr>
      <w:color w:val="0563C1" w:themeColor="hyperlink"/>
      <w:u w:val="single"/>
    </w:rPr>
  </w:style>
  <w:style w:type="paragraph" w:styleId="Allmrkusetekst">
    <w:name w:val="footnote text"/>
    <w:basedOn w:val="Normaallaad"/>
    <w:link w:val="AllmrkusetekstMrk"/>
    <w:uiPriority w:val="99"/>
    <w:semiHidden/>
    <w:unhideWhenUsed/>
    <w:rsid w:val="00453900"/>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53900"/>
    <w:rPr>
      <w:sz w:val="20"/>
      <w:szCs w:val="20"/>
    </w:rPr>
  </w:style>
  <w:style w:type="character" w:styleId="Allmrkuseviide">
    <w:name w:val="footnote reference"/>
    <w:basedOn w:val="Liguvaikefont"/>
    <w:uiPriority w:val="99"/>
    <w:semiHidden/>
    <w:unhideWhenUsed/>
    <w:rsid w:val="00453900"/>
    <w:rPr>
      <w:vertAlign w:val="superscript"/>
    </w:rPr>
  </w:style>
  <w:style w:type="table" w:styleId="Kontuurtabel">
    <w:name w:val="Table Grid"/>
    <w:basedOn w:val="Normaaltabel"/>
    <w:uiPriority w:val="39"/>
    <w:rsid w:val="00AF4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DE2EC2"/>
    <w:pPr>
      <w:tabs>
        <w:tab w:val="center" w:pos="4536"/>
        <w:tab w:val="right" w:pos="9072"/>
      </w:tabs>
      <w:spacing w:after="0" w:line="240" w:lineRule="auto"/>
    </w:pPr>
  </w:style>
  <w:style w:type="character" w:customStyle="1" w:styleId="PisMrk">
    <w:name w:val="Päis Märk"/>
    <w:basedOn w:val="Liguvaikefont"/>
    <w:link w:val="Pis"/>
    <w:uiPriority w:val="99"/>
    <w:rsid w:val="00DE2EC2"/>
  </w:style>
  <w:style w:type="paragraph" w:styleId="Jalus">
    <w:name w:val="footer"/>
    <w:basedOn w:val="Normaallaad"/>
    <w:link w:val="JalusMrk"/>
    <w:uiPriority w:val="99"/>
    <w:unhideWhenUsed/>
    <w:rsid w:val="00DE2EC2"/>
    <w:pPr>
      <w:tabs>
        <w:tab w:val="center" w:pos="4536"/>
        <w:tab w:val="right" w:pos="9072"/>
      </w:tabs>
      <w:spacing w:after="0" w:line="240" w:lineRule="auto"/>
    </w:pPr>
  </w:style>
  <w:style w:type="character" w:customStyle="1" w:styleId="JalusMrk">
    <w:name w:val="Jalus Märk"/>
    <w:basedOn w:val="Liguvaikefont"/>
    <w:link w:val="Jalus"/>
    <w:uiPriority w:val="99"/>
    <w:rsid w:val="00DE2EC2"/>
  </w:style>
  <w:style w:type="character" w:styleId="Klastatudhperlink">
    <w:name w:val="FollowedHyperlink"/>
    <w:basedOn w:val="Liguvaikefont"/>
    <w:uiPriority w:val="99"/>
    <w:semiHidden/>
    <w:unhideWhenUsed/>
    <w:rsid w:val="00657099"/>
    <w:rPr>
      <w:color w:val="954F72" w:themeColor="followedHyperlink"/>
      <w:u w:val="single"/>
    </w:rPr>
  </w:style>
  <w:style w:type="character" w:styleId="Lahendamatamainimine">
    <w:name w:val="Unresolved Mention"/>
    <w:basedOn w:val="Liguvaikefont"/>
    <w:uiPriority w:val="99"/>
    <w:semiHidden/>
    <w:unhideWhenUsed/>
    <w:rsid w:val="00B01893"/>
    <w:rPr>
      <w:color w:val="605E5C"/>
      <w:shd w:val="clear" w:color="auto" w:fill="E1DFDD"/>
    </w:rPr>
  </w:style>
  <w:style w:type="character" w:customStyle="1" w:styleId="Pealkiri1Mrk">
    <w:name w:val="Pealkiri 1 Märk"/>
    <w:basedOn w:val="Liguvaikefont"/>
    <w:link w:val="Pealkiri1"/>
    <w:uiPriority w:val="9"/>
    <w:rsid w:val="00DB45BD"/>
    <w:rPr>
      <w:rFonts w:ascii="Times New Roman" w:eastAsiaTheme="majorEastAsia" w:hAnsi="Times New Roman" w:cstheme="majorBidi"/>
      <w:b/>
      <w:sz w:val="24"/>
      <w:szCs w:val="32"/>
    </w:rPr>
  </w:style>
  <w:style w:type="character" w:customStyle="1" w:styleId="Pealkiri4Mrk">
    <w:name w:val="Pealkiri 4 Märk"/>
    <w:basedOn w:val="Liguvaikefont"/>
    <w:link w:val="Pealkiri4"/>
    <w:uiPriority w:val="9"/>
    <w:rsid w:val="00DB45BD"/>
    <w:rPr>
      <w:rFonts w:asciiTheme="majorHAnsi" w:eastAsiaTheme="majorEastAsia" w:hAnsiTheme="majorHAnsi" w:cstheme="majorBidi"/>
      <w:i/>
      <w:iCs/>
      <w:color w:val="2E74B5" w:themeColor="accent1" w:themeShade="BF"/>
    </w:rPr>
  </w:style>
  <w:style w:type="paragraph" w:customStyle="1" w:styleId="Para">
    <w:name w:val="Para"/>
    <w:basedOn w:val="Normaallaad"/>
    <w:link w:val="ParaChar"/>
    <w:uiPriority w:val="3"/>
    <w:qFormat/>
    <w:rsid w:val="00DB45BD"/>
    <w:pPr>
      <w:spacing w:before="120" w:after="120" w:line="240" w:lineRule="auto"/>
      <w:ind w:left="680" w:right="680"/>
      <w:jc w:val="both"/>
    </w:pPr>
    <w:rPr>
      <w:rFonts w:ascii="Times New Roman" w:hAnsi="Times New Roman"/>
      <w:lang w:val="en-GB"/>
    </w:rPr>
  </w:style>
  <w:style w:type="character" w:customStyle="1" w:styleId="ParaChar">
    <w:name w:val="Para Char"/>
    <w:basedOn w:val="Liguvaikefont"/>
    <w:link w:val="Para"/>
    <w:uiPriority w:val="3"/>
    <w:rsid w:val="00DB45BD"/>
    <w:rPr>
      <w:rFonts w:ascii="Times New Roman" w:hAnsi="Times New Roman"/>
      <w:lang w:val="en-GB"/>
    </w:rPr>
  </w:style>
  <w:style w:type="character" w:styleId="Tugev">
    <w:name w:val="Strong"/>
    <w:basedOn w:val="Liguvaikefont"/>
    <w:uiPriority w:val="22"/>
    <w:qFormat/>
    <w:rsid w:val="00DB45BD"/>
    <w:rPr>
      <w:b/>
      <w:bCs/>
    </w:rPr>
  </w:style>
  <w:style w:type="character" w:customStyle="1" w:styleId="Pealkiri2Mrk">
    <w:name w:val="Pealkiri 2 Märk"/>
    <w:basedOn w:val="Liguvaikefont"/>
    <w:link w:val="Pealkiri2"/>
    <w:uiPriority w:val="9"/>
    <w:semiHidden/>
    <w:rsid w:val="006C5054"/>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rsid w:val="00ED5FA5"/>
    <w:rPr>
      <w:rFonts w:asciiTheme="majorHAnsi" w:eastAsiaTheme="majorEastAsia" w:hAnsiTheme="majorHAnsi" w:cstheme="majorBidi"/>
      <w:color w:val="1F4D78" w:themeColor="accent1" w:themeShade="7F"/>
      <w:sz w:val="24"/>
      <w:szCs w:val="24"/>
    </w:rPr>
  </w:style>
  <w:style w:type="character" w:styleId="Rhutus">
    <w:name w:val="Emphasis"/>
    <w:basedOn w:val="Liguvaikefont"/>
    <w:uiPriority w:val="20"/>
    <w:qFormat/>
    <w:rsid w:val="005E1B11"/>
    <w:rPr>
      <w:i/>
      <w:iCs/>
    </w:rPr>
  </w:style>
  <w:style w:type="paragraph" w:styleId="Kehatekst">
    <w:name w:val="Body Text"/>
    <w:basedOn w:val="Normaallaad"/>
    <w:link w:val="KehatekstMrk"/>
    <w:uiPriority w:val="1"/>
    <w:qFormat/>
    <w:rsid w:val="00523A1B"/>
    <w:pPr>
      <w:widowControl w:val="0"/>
      <w:autoSpaceDE w:val="0"/>
      <w:autoSpaceDN w:val="0"/>
      <w:spacing w:after="0" w:line="240" w:lineRule="auto"/>
    </w:pPr>
    <w:rPr>
      <w:rFonts w:ascii="Arial" w:eastAsia="Arial" w:hAnsi="Arial" w:cs="Arial"/>
      <w:sz w:val="20"/>
      <w:szCs w:val="20"/>
      <w:lang w:val="en-US"/>
    </w:rPr>
  </w:style>
  <w:style w:type="character" w:customStyle="1" w:styleId="KehatekstMrk">
    <w:name w:val="Kehatekst Märk"/>
    <w:basedOn w:val="Liguvaikefont"/>
    <w:link w:val="Kehatekst"/>
    <w:uiPriority w:val="1"/>
    <w:rsid w:val="00523A1B"/>
    <w:rPr>
      <w:rFonts w:ascii="Arial" w:eastAsia="Arial" w:hAnsi="Arial" w:cs="Arial"/>
      <w:sz w:val="20"/>
      <w:szCs w:val="20"/>
      <w:lang w:val="en-US"/>
    </w:rPr>
  </w:style>
  <w:style w:type="table" w:styleId="Helekontuurtabel">
    <w:name w:val="Grid Table Light"/>
    <w:basedOn w:val="Normaaltabel"/>
    <w:uiPriority w:val="40"/>
    <w:rsid w:val="000756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vatabel1">
    <w:name w:val="Plain Table 1"/>
    <w:basedOn w:val="Normaaltabel"/>
    <w:uiPriority w:val="41"/>
    <w:rsid w:val="003170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vatabel3">
    <w:name w:val="Plain Table 3"/>
    <w:basedOn w:val="Normaaltabel"/>
    <w:uiPriority w:val="43"/>
    <w:rsid w:val="006B1FB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vatabel5">
    <w:name w:val="Plain Table 5"/>
    <w:basedOn w:val="Normaaltabel"/>
    <w:uiPriority w:val="45"/>
    <w:rsid w:val="00FB256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daktsioon">
    <w:name w:val="Revision"/>
    <w:hidden/>
    <w:uiPriority w:val="99"/>
    <w:semiHidden/>
    <w:rsid w:val="00777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5872">
      <w:bodyDiv w:val="1"/>
      <w:marLeft w:val="0"/>
      <w:marRight w:val="0"/>
      <w:marTop w:val="0"/>
      <w:marBottom w:val="0"/>
      <w:divBdr>
        <w:top w:val="none" w:sz="0" w:space="0" w:color="auto"/>
        <w:left w:val="none" w:sz="0" w:space="0" w:color="auto"/>
        <w:bottom w:val="none" w:sz="0" w:space="0" w:color="auto"/>
        <w:right w:val="none" w:sz="0" w:space="0" w:color="auto"/>
      </w:divBdr>
    </w:div>
    <w:div w:id="53506692">
      <w:bodyDiv w:val="1"/>
      <w:marLeft w:val="0"/>
      <w:marRight w:val="0"/>
      <w:marTop w:val="0"/>
      <w:marBottom w:val="0"/>
      <w:divBdr>
        <w:top w:val="none" w:sz="0" w:space="0" w:color="auto"/>
        <w:left w:val="none" w:sz="0" w:space="0" w:color="auto"/>
        <w:bottom w:val="none" w:sz="0" w:space="0" w:color="auto"/>
        <w:right w:val="none" w:sz="0" w:space="0" w:color="auto"/>
      </w:divBdr>
    </w:div>
    <w:div w:id="95449088">
      <w:bodyDiv w:val="1"/>
      <w:marLeft w:val="0"/>
      <w:marRight w:val="0"/>
      <w:marTop w:val="0"/>
      <w:marBottom w:val="0"/>
      <w:divBdr>
        <w:top w:val="none" w:sz="0" w:space="0" w:color="auto"/>
        <w:left w:val="none" w:sz="0" w:space="0" w:color="auto"/>
        <w:bottom w:val="none" w:sz="0" w:space="0" w:color="auto"/>
        <w:right w:val="none" w:sz="0" w:space="0" w:color="auto"/>
      </w:divBdr>
      <w:divsChild>
        <w:div w:id="1027561752">
          <w:marLeft w:val="360"/>
          <w:marRight w:val="0"/>
          <w:marTop w:val="0"/>
          <w:marBottom w:val="0"/>
          <w:divBdr>
            <w:top w:val="none" w:sz="0" w:space="0" w:color="auto"/>
            <w:left w:val="none" w:sz="0" w:space="0" w:color="auto"/>
            <w:bottom w:val="none" w:sz="0" w:space="0" w:color="auto"/>
            <w:right w:val="none" w:sz="0" w:space="0" w:color="auto"/>
          </w:divBdr>
        </w:div>
      </w:divsChild>
    </w:div>
    <w:div w:id="135222857">
      <w:bodyDiv w:val="1"/>
      <w:marLeft w:val="0"/>
      <w:marRight w:val="0"/>
      <w:marTop w:val="0"/>
      <w:marBottom w:val="0"/>
      <w:divBdr>
        <w:top w:val="none" w:sz="0" w:space="0" w:color="auto"/>
        <w:left w:val="none" w:sz="0" w:space="0" w:color="auto"/>
        <w:bottom w:val="none" w:sz="0" w:space="0" w:color="auto"/>
        <w:right w:val="none" w:sz="0" w:space="0" w:color="auto"/>
      </w:divBdr>
    </w:div>
    <w:div w:id="141117789">
      <w:bodyDiv w:val="1"/>
      <w:marLeft w:val="0"/>
      <w:marRight w:val="0"/>
      <w:marTop w:val="0"/>
      <w:marBottom w:val="0"/>
      <w:divBdr>
        <w:top w:val="none" w:sz="0" w:space="0" w:color="auto"/>
        <w:left w:val="none" w:sz="0" w:space="0" w:color="auto"/>
        <w:bottom w:val="none" w:sz="0" w:space="0" w:color="auto"/>
        <w:right w:val="none" w:sz="0" w:space="0" w:color="auto"/>
      </w:divBdr>
    </w:div>
    <w:div w:id="169755961">
      <w:bodyDiv w:val="1"/>
      <w:marLeft w:val="0"/>
      <w:marRight w:val="0"/>
      <w:marTop w:val="0"/>
      <w:marBottom w:val="0"/>
      <w:divBdr>
        <w:top w:val="none" w:sz="0" w:space="0" w:color="auto"/>
        <w:left w:val="none" w:sz="0" w:space="0" w:color="auto"/>
        <w:bottom w:val="none" w:sz="0" w:space="0" w:color="auto"/>
        <w:right w:val="none" w:sz="0" w:space="0" w:color="auto"/>
      </w:divBdr>
    </w:div>
    <w:div w:id="215824287">
      <w:bodyDiv w:val="1"/>
      <w:marLeft w:val="0"/>
      <w:marRight w:val="0"/>
      <w:marTop w:val="0"/>
      <w:marBottom w:val="0"/>
      <w:divBdr>
        <w:top w:val="none" w:sz="0" w:space="0" w:color="auto"/>
        <w:left w:val="none" w:sz="0" w:space="0" w:color="auto"/>
        <w:bottom w:val="none" w:sz="0" w:space="0" w:color="auto"/>
        <w:right w:val="none" w:sz="0" w:space="0" w:color="auto"/>
      </w:divBdr>
    </w:div>
    <w:div w:id="217787889">
      <w:bodyDiv w:val="1"/>
      <w:marLeft w:val="0"/>
      <w:marRight w:val="0"/>
      <w:marTop w:val="0"/>
      <w:marBottom w:val="0"/>
      <w:divBdr>
        <w:top w:val="none" w:sz="0" w:space="0" w:color="auto"/>
        <w:left w:val="none" w:sz="0" w:space="0" w:color="auto"/>
        <w:bottom w:val="none" w:sz="0" w:space="0" w:color="auto"/>
        <w:right w:val="none" w:sz="0" w:space="0" w:color="auto"/>
      </w:divBdr>
    </w:div>
    <w:div w:id="322202693">
      <w:bodyDiv w:val="1"/>
      <w:marLeft w:val="0"/>
      <w:marRight w:val="0"/>
      <w:marTop w:val="0"/>
      <w:marBottom w:val="0"/>
      <w:divBdr>
        <w:top w:val="none" w:sz="0" w:space="0" w:color="auto"/>
        <w:left w:val="none" w:sz="0" w:space="0" w:color="auto"/>
        <w:bottom w:val="none" w:sz="0" w:space="0" w:color="auto"/>
        <w:right w:val="none" w:sz="0" w:space="0" w:color="auto"/>
      </w:divBdr>
    </w:div>
    <w:div w:id="327636270">
      <w:bodyDiv w:val="1"/>
      <w:marLeft w:val="0"/>
      <w:marRight w:val="0"/>
      <w:marTop w:val="0"/>
      <w:marBottom w:val="0"/>
      <w:divBdr>
        <w:top w:val="none" w:sz="0" w:space="0" w:color="auto"/>
        <w:left w:val="none" w:sz="0" w:space="0" w:color="auto"/>
        <w:bottom w:val="none" w:sz="0" w:space="0" w:color="auto"/>
        <w:right w:val="none" w:sz="0" w:space="0" w:color="auto"/>
      </w:divBdr>
    </w:div>
    <w:div w:id="370035641">
      <w:bodyDiv w:val="1"/>
      <w:marLeft w:val="0"/>
      <w:marRight w:val="0"/>
      <w:marTop w:val="0"/>
      <w:marBottom w:val="0"/>
      <w:divBdr>
        <w:top w:val="none" w:sz="0" w:space="0" w:color="auto"/>
        <w:left w:val="none" w:sz="0" w:space="0" w:color="auto"/>
        <w:bottom w:val="none" w:sz="0" w:space="0" w:color="auto"/>
        <w:right w:val="none" w:sz="0" w:space="0" w:color="auto"/>
      </w:divBdr>
    </w:div>
    <w:div w:id="394360406">
      <w:bodyDiv w:val="1"/>
      <w:marLeft w:val="0"/>
      <w:marRight w:val="0"/>
      <w:marTop w:val="0"/>
      <w:marBottom w:val="0"/>
      <w:divBdr>
        <w:top w:val="none" w:sz="0" w:space="0" w:color="auto"/>
        <w:left w:val="none" w:sz="0" w:space="0" w:color="auto"/>
        <w:bottom w:val="none" w:sz="0" w:space="0" w:color="auto"/>
        <w:right w:val="none" w:sz="0" w:space="0" w:color="auto"/>
      </w:divBdr>
    </w:div>
    <w:div w:id="424157298">
      <w:bodyDiv w:val="1"/>
      <w:marLeft w:val="0"/>
      <w:marRight w:val="0"/>
      <w:marTop w:val="0"/>
      <w:marBottom w:val="0"/>
      <w:divBdr>
        <w:top w:val="none" w:sz="0" w:space="0" w:color="auto"/>
        <w:left w:val="none" w:sz="0" w:space="0" w:color="auto"/>
        <w:bottom w:val="none" w:sz="0" w:space="0" w:color="auto"/>
        <w:right w:val="none" w:sz="0" w:space="0" w:color="auto"/>
      </w:divBdr>
    </w:div>
    <w:div w:id="455149848">
      <w:bodyDiv w:val="1"/>
      <w:marLeft w:val="0"/>
      <w:marRight w:val="0"/>
      <w:marTop w:val="0"/>
      <w:marBottom w:val="0"/>
      <w:divBdr>
        <w:top w:val="none" w:sz="0" w:space="0" w:color="auto"/>
        <w:left w:val="none" w:sz="0" w:space="0" w:color="auto"/>
        <w:bottom w:val="none" w:sz="0" w:space="0" w:color="auto"/>
        <w:right w:val="none" w:sz="0" w:space="0" w:color="auto"/>
      </w:divBdr>
    </w:div>
    <w:div w:id="463423505">
      <w:bodyDiv w:val="1"/>
      <w:marLeft w:val="0"/>
      <w:marRight w:val="0"/>
      <w:marTop w:val="0"/>
      <w:marBottom w:val="0"/>
      <w:divBdr>
        <w:top w:val="none" w:sz="0" w:space="0" w:color="auto"/>
        <w:left w:val="none" w:sz="0" w:space="0" w:color="auto"/>
        <w:bottom w:val="none" w:sz="0" w:space="0" w:color="auto"/>
        <w:right w:val="none" w:sz="0" w:space="0" w:color="auto"/>
      </w:divBdr>
    </w:div>
    <w:div w:id="488250012">
      <w:bodyDiv w:val="1"/>
      <w:marLeft w:val="0"/>
      <w:marRight w:val="0"/>
      <w:marTop w:val="0"/>
      <w:marBottom w:val="0"/>
      <w:divBdr>
        <w:top w:val="none" w:sz="0" w:space="0" w:color="auto"/>
        <w:left w:val="none" w:sz="0" w:space="0" w:color="auto"/>
        <w:bottom w:val="none" w:sz="0" w:space="0" w:color="auto"/>
        <w:right w:val="none" w:sz="0" w:space="0" w:color="auto"/>
      </w:divBdr>
    </w:div>
    <w:div w:id="584191853">
      <w:bodyDiv w:val="1"/>
      <w:marLeft w:val="0"/>
      <w:marRight w:val="0"/>
      <w:marTop w:val="0"/>
      <w:marBottom w:val="0"/>
      <w:divBdr>
        <w:top w:val="none" w:sz="0" w:space="0" w:color="auto"/>
        <w:left w:val="none" w:sz="0" w:space="0" w:color="auto"/>
        <w:bottom w:val="none" w:sz="0" w:space="0" w:color="auto"/>
        <w:right w:val="none" w:sz="0" w:space="0" w:color="auto"/>
      </w:divBdr>
    </w:div>
    <w:div w:id="588275881">
      <w:bodyDiv w:val="1"/>
      <w:marLeft w:val="0"/>
      <w:marRight w:val="0"/>
      <w:marTop w:val="0"/>
      <w:marBottom w:val="0"/>
      <w:divBdr>
        <w:top w:val="none" w:sz="0" w:space="0" w:color="auto"/>
        <w:left w:val="none" w:sz="0" w:space="0" w:color="auto"/>
        <w:bottom w:val="none" w:sz="0" w:space="0" w:color="auto"/>
        <w:right w:val="none" w:sz="0" w:space="0" w:color="auto"/>
      </w:divBdr>
    </w:div>
    <w:div w:id="642973954">
      <w:bodyDiv w:val="1"/>
      <w:marLeft w:val="0"/>
      <w:marRight w:val="0"/>
      <w:marTop w:val="0"/>
      <w:marBottom w:val="0"/>
      <w:divBdr>
        <w:top w:val="none" w:sz="0" w:space="0" w:color="auto"/>
        <w:left w:val="none" w:sz="0" w:space="0" w:color="auto"/>
        <w:bottom w:val="none" w:sz="0" w:space="0" w:color="auto"/>
        <w:right w:val="none" w:sz="0" w:space="0" w:color="auto"/>
      </w:divBdr>
    </w:div>
    <w:div w:id="742917922">
      <w:bodyDiv w:val="1"/>
      <w:marLeft w:val="0"/>
      <w:marRight w:val="0"/>
      <w:marTop w:val="0"/>
      <w:marBottom w:val="0"/>
      <w:divBdr>
        <w:top w:val="none" w:sz="0" w:space="0" w:color="auto"/>
        <w:left w:val="none" w:sz="0" w:space="0" w:color="auto"/>
        <w:bottom w:val="none" w:sz="0" w:space="0" w:color="auto"/>
        <w:right w:val="none" w:sz="0" w:space="0" w:color="auto"/>
      </w:divBdr>
    </w:div>
    <w:div w:id="745418286">
      <w:bodyDiv w:val="1"/>
      <w:marLeft w:val="0"/>
      <w:marRight w:val="0"/>
      <w:marTop w:val="0"/>
      <w:marBottom w:val="0"/>
      <w:divBdr>
        <w:top w:val="none" w:sz="0" w:space="0" w:color="auto"/>
        <w:left w:val="none" w:sz="0" w:space="0" w:color="auto"/>
        <w:bottom w:val="none" w:sz="0" w:space="0" w:color="auto"/>
        <w:right w:val="none" w:sz="0" w:space="0" w:color="auto"/>
      </w:divBdr>
    </w:div>
    <w:div w:id="757941261">
      <w:bodyDiv w:val="1"/>
      <w:marLeft w:val="0"/>
      <w:marRight w:val="0"/>
      <w:marTop w:val="0"/>
      <w:marBottom w:val="0"/>
      <w:divBdr>
        <w:top w:val="none" w:sz="0" w:space="0" w:color="auto"/>
        <w:left w:val="none" w:sz="0" w:space="0" w:color="auto"/>
        <w:bottom w:val="none" w:sz="0" w:space="0" w:color="auto"/>
        <w:right w:val="none" w:sz="0" w:space="0" w:color="auto"/>
      </w:divBdr>
    </w:div>
    <w:div w:id="778455510">
      <w:bodyDiv w:val="1"/>
      <w:marLeft w:val="0"/>
      <w:marRight w:val="0"/>
      <w:marTop w:val="0"/>
      <w:marBottom w:val="0"/>
      <w:divBdr>
        <w:top w:val="none" w:sz="0" w:space="0" w:color="auto"/>
        <w:left w:val="none" w:sz="0" w:space="0" w:color="auto"/>
        <w:bottom w:val="none" w:sz="0" w:space="0" w:color="auto"/>
        <w:right w:val="none" w:sz="0" w:space="0" w:color="auto"/>
      </w:divBdr>
    </w:div>
    <w:div w:id="810485521">
      <w:bodyDiv w:val="1"/>
      <w:marLeft w:val="0"/>
      <w:marRight w:val="0"/>
      <w:marTop w:val="0"/>
      <w:marBottom w:val="0"/>
      <w:divBdr>
        <w:top w:val="none" w:sz="0" w:space="0" w:color="auto"/>
        <w:left w:val="none" w:sz="0" w:space="0" w:color="auto"/>
        <w:bottom w:val="none" w:sz="0" w:space="0" w:color="auto"/>
        <w:right w:val="none" w:sz="0" w:space="0" w:color="auto"/>
      </w:divBdr>
    </w:div>
    <w:div w:id="892884116">
      <w:bodyDiv w:val="1"/>
      <w:marLeft w:val="0"/>
      <w:marRight w:val="0"/>
      <w:marTop w:val="0"/>
      <w:marBottom w:val="0"/>
      <w:divBdr>
        <w:top w:val="none" w:sz="0" w:space="0" w:color="auto"/>
        <w:left w:val="none" w:sz="0" w:space="0" w:color="auto"/>
        <w:bottom w:val="none" w:sz="0" w:space="0" w:color="auto"/>
        <w:right w:val="none" w:sz="0" w:space="0" w:color="auto"/>
      </w:divBdr>
    </w:div>
    <w:div w:id="938177586">
      <w:bodyDiv w:val="1"/>
      <w:marLeft w:val="0"/>
      <w:marRight w:val="0"/>
      <w:marTop w:val="0"/>
      <w:marBottom w:val="0"/>
      <w:divBdr>
        <w:top w:val="none" w:sz="0" w:space="0" w:color="auto"/>
        <w:left w:val="none" w:sz="0" w:space="0" w:color="auto"/>
        <w:bottom w:val="none" w:sz="0" w:space="0" w:color="auto"/>
        <w:right w:val="none" w:sz="0" w:space="0" w:color="auto"/>
      </w:divBdr>
    </w:div>
    <w:div w:id="970357202">
      <w:bodyDiv w:val="1"/>
      <w:marLeft w:val="0"/>
      <w:marRight w:val="0"/>
      <w:marTop w:val="0"/>
      <w:marBottom w:val="0"/>
      <w:divBdr>
        <w:top w:val="none" w:sz="0" w:space="0" w:color="auto"/>
        <w:left w:val="none" w:sz="0" w:space="0" w:color="auto"/>
        <w:bottom w:val="none" w:sz="0" w:space="0" w:color="auto"/>
        <w:right w:val="none" w:sz="0" w:space="0" w:color="auto"/>
      </w:divBdr>
    </w:div>
    <w:div w:id="990670664">
      <w:bodyDiv w:val="1"/>
      <w:marLeft w:val="0"/>
      <w:marRight w:val="0"/>
      <w:marTop w:val="0"/>
      <w:marBottom w:val="0"/>
      <w:divBdr>
        <w:top w:val="none" w:sz="0" w:space="0" w:color="auto"/>
        <w:left w:val="none" w:sz="0" w:space="0" w:color="auto"/>
        <w:bottom w:val="none" w:sz="0" w:space="0" w:color="auto"/>
        <w:right w:val="none" w:sz="0" w:space="0" w:color="auto"/>
      </w:divBdr>
    </w:div>
    <w:div w:id="991761631">
      <w:bodyDiv w:val="1"/>
      <w:marLeft w:val="0"/>
      <w:marRight w:val="0"/>
      <w:marTop w:val="0"/>
      <w:marBottom w:val="0"/>
      <w:divBdr>
        <w:top w:val="none" w:sz="0" w:space="0" w:color="auto"/>
        <w:left w:val="none" w:sz="0" w:space="0" w:color="auto"/>
        <w:bottom w:val="none" w:sz="0" w:space="0" w:color="auto"/>
        <w:right w:val="none" w:sz="0" w:space="0" w:color="auto"/>
      </w:divBdr>
    </w:div>
    <w:div w:id="1053769060">
      <w:bodyDiv w:val="1"/>
      <w:marLeft w:val="0"/>
      <w:marRight w:val="0"/>
      <w:marTop w:val="0"/>
      <w:marBottom w:val="0"/>
      <w:divBdr>
        <w:top w:val="none" w:sz="0" w:space="0" w:color="auto"/>
        <w:left w:val="none" w:sz="0" w:space="0" w:color="auto"/>
        <w:bottom w:val="none" w:sz="0" w:space="0" w:color="auto"/>
        <w:right w:val="none" w:sz="0" w:space="0" w:color="auto"/>
      </w:divBdr>
    </w:div>
    <w:div w:id="1059088529">
      <w:bodyDiv w:val="1"/>
      <w:marLeft w:val="0"/>
      <w:marRight w:val="0"/>
      <w:marTop w:val="0"/>
      <w:marBottom w:val="0"/>
      <w:divBdr>
        <w:top w:val="none" w:sz="0" w:space="0" w:color="auto"/>
        <w:left w:val="none" w:sz="0" w:space="0" w:color="auto"/>
        <w:bottom w:val="none" w:sz="0" w:space="0" w:color="auto"/>
        <w:right w:val="none" w:sz="0" w:space="0" w:color="auto"/>
      </w:divBdr>
    </w:div>
    <w:div w:id="1075665203">
      <w:bodyDiv w:val="1"/>
      <w:marLeft w:val="0"/>
      <w:marRight w:val="0"/>
      <w:marTop w:val="0"/>
      <w:marBottom w:val="0"/>
      <w:divBdr>
        <w:top w:val="none" w:sz="0" w:space="0" w:color="auto"/>
        <w:left w:val="none" w:sz="0" w:space="0" w:color="auto"/>
        <w:bottom w:val="none" w:sz="0" w:space="0" w:color="auto"/>
        <w:right w:val="none" w:sz="0" w:space="0" w:color="auto"/>
      </w:divBdr>
    </w:div>
    <w:div w:id="1090738441">
      <w:bodyDiv w:val="1"/>
      <w:marLeft w:val="0"/>
      <w:marRight w:val="0"/>
      <w:marTop w:val="0"/>
      <w:marBottom w:val="0"/>
      <w:divBdr>
        <w:top w:val="none" w:sz="0" w:space="0" w:color="auto"/>
        <w:left w:val="none" w:sz="0" w:space="0" w:color="auto"/>
        <w:bottom w:val="none" w:sz="0" w:space="0" w:color="auto"/>
        <w:right w:val="none" w:sz="0" w:space="0" w:color="auto"/>
      </w:divBdr>
    </w:div>
    <w:div w:id="1094519415">
      <w:bodyDiv w:val="1"/>
      <w:marLeft w:val="0"/>
      <w:marRight w:val="0"/>
      <w:marTop w:val="0"/>
      <w:marBottom w:val="0"/>
      <w:divBdr>
        <w:top w:val="none" w:sz="0" w:space="0" w:color="auto"/>
        <w:left w:val="none" w:sz="0" w:space="0" w:color="auto"/>
        <w:bottom w:val="none" w:sz="0" w:space="0" w:color="auto"/>
        <w:right w:val="none" w:sz="0" w:space="0" w:color="auto"/>
      </w:divBdr>
    </w:div>
    <w:div w:id="1109467822">
      <w:bodyDiv w:val="1"/>
      <w:marLeft w:val="0"/>
      <w:marRight w:val="0"/>
      <w:marTop w:val="0"/>
      <w:marBottom w:val="0"/>
      <w:divBdr>
        <w:top w:val="none" w:sz="0" w:space="0" w:color="auto"/>
        <w:left w:val="none" w:sz="0" w:space="0" w:color="auto"/>
        <w:bottom w:val="none" w:sz="0" w:space="0" w:color="auto"/>
        <w:right w:val="none" w:sz="0" w:space="0" w:color="auto"/>
      </w:divBdr>
    </w:div>
    <w:div w:id="1111969240">
      <w:bodyDiv w:val="1"/>
      <w:marLeft w:val="0"/>
      <w:marRight w:val="0"/>
      <w:marTop w:val="0"/>
      <w:marBottom w:val="0"/>
      <w:divBdr>
        <w:top w:val="none" w:sz="0" w:space="0" w:color="auto"/>
        <w:left w:val="none" w:sz="0" w:space="0" w:color="auto"/>
        <w:bottom w:val="none" w:sz="0" w:space="0" w:color="auto"/>
        <w:right w:val="none" w:sz="0" w:space="0" w:color="auto"/>
      </w:divBdr>
    </w:div>
    <w:div w:id="1149397768">
      <w:bodyDiv w:val="1"/>
      <w:marLeft w:val="0"/>
      <w:marRight w:val="0"/>
      <w:marTop w:val="0"/>
      <w:marBottom w:val="0"/>
      <w:divBdr>
        <w:top w:val="none" w:sz="0" w:space="0" w:color="auto"/>
        <w:left w:val="none" w:sz="0" w:space="0" w:color="auto"/>
        <w:bottom w:val="none" w:sz="0" w:space="0" w:color="auto"/>
        <w:right w:val="none" w:sz="0" w:space="0" w:color="auto"/>
      </w:divBdr>
    </w:div>
    <w:div w:id="1159150513">
      <w:bodyDiv w:val="1"/>
      <w:marLeft w:val="0"/>
      <w:marRight w:val="0"/>
      <w:marTop w:val="0"/>
      <w:marBottom w:val="0"/>
      <w:divBdr>
        <w:top w:val="none" w:sz="0" w:space="0" w:color="auto"/>
        <w:left w:val="none" w:sz="0" w:space="0" w:color="auto"/>
        <w:bottom w:val="none" w:sz="0" w:space="0" w:color="auto"/>
        <w:right w:val="none" w:sz="0" w:space="0" w:color="auto"/>
      </w:divBdr>
    </w:div>
    <w:div w:id="1196849192">
      <w:bodyDiv w:val="1"/>
      <w:marLeft w:val="0"/>
      <w:marRight w:val="0"/>
      <w:marTop w:val="0"/>
      <w:marBottom w:val="0"/>
      <w:divBdr>
        <w:top w:val="none" w:sz="0" w:space="0" w:color="auto"/>
        <w:left w:val="none" w:sz="0" w:space="0" w:color="auto"/>
        <w:bottom w:val="none" w:sz="0" w:space="0" w:color="auto"/>
        <w:right w:val="none" w:sz="0" w:space="0" w:color="auto"/>
      </w:divBdr>
    </w:div>
    <w:div w:id="1198467810">
      <w:bodyDiv w:val="1"/>
      <w:marLeft w:val="0"/>
      <w:marRight w:val="0"/>
      <w:marTop w:val="0"/>
      <w:marBottom w:val="0"/>
      <w:divBdr>
        <w:top w:val="none" w:sz="0" w:space="0" w:color="auto"/>
        <w:left w:val="none" w:sz="0" w:space="0" w:color="auto"/>
        <w:bottom w:val="none" w:sz="0" w:space="0" w:color="auto"/>
        <w:right w:val="none" w:sz="0" w:space="0" w:color="auto"/>
      </w:divBdr>
    </w:div>
    <w:div w:id="1199507278">
      <w:bodyDiv w:val="1"/>
      <w:marLeft w:val="0"/>
      <w:marRight w:val="0"/>
      <w:marTop w:val="0"/>
      <w:marBottom w:val="0"/>
      <w:divBdr>
        <w:top w:val="none" w:sz="0" w:space="0" w:color="auto"/>
        <w:left w:val="none" w:sz="0" w:space="0" w:color="auto"/>
        <w:bottom w:val="none" w:sz="0" w:space="0" w:color="auto"/>
        <w:right w:val="none" w:sz="0" w:space="0" w:color="auto"/>
      </w:divBdr>
    </w:div>
    <w:div w:id="1207716450">
      <w:bodyDiv w:val="1"/>
      <w:marLeft w:val="0"/>
      <w:marRight w:val="0"/>
      <w:marTop w:val="0"/>
      <w:marBottom w:val="0"/>
      <w:divBdr>
        <w:top w:val="none" w:sz="0" w:space="0" w:color="auto"/>
        <w:left w:val="none" w:sz="0" w:space="0" w:color="auto"/>
        <w:bottom w:val="none" w:sz="0" w:space="0" w:color="auto"/>
        <w:right w:val="none" w:sz="0" w:space="0" w:color="auto"/>
      </w:divBdr>
    </w:div>
    <w:div w:id="1215315105">
      <w:bodyDiv w:val="1"/>
      <w:marLeft w:val="0"/>
      <w:marRight w:val="0"/>
      <w:marTop w:val="0"/>
      <w:marBottom w:val="0"/>
      <w:divBdr>
        <w:top w:val="none" w:sz="0" w:space="0" w:color="auto"/>
        <w:left w:val="none" w:sz="0" w:space="0" w:color="auto"/>
        <w:bottom w:val="none" w:sz="0" w:space="0" w:color="auto"/>
        <w:right w:val="none" w:sz="0" w:space="0" w:color="auto"/>
      </w:divBdr>
    </w:div>
    <w:div w:id="1219438715">
      <w:bodyDiv w:val="1"/>
      <w:marLeft w:val="0"/>
      <w:marRight w:val="0"/>
      <w:marTop w:val="0"/>
      <w:marBottom w:val="0"/>
      <w:divBdr>
        <w:top w:val="none" w:sz="0" w:space="0" w:color="auto"/>
        <w:left w:val="none" w:sz="0" w:space="0" w:color="auto"/>
        <w:bottom w:val="none" w:sz="0" w:space="0" w:color="auto"/>
        <w:right w:val="none" w:sz="0" w:space="0" w:color="auto"/>
      </w:divBdr>
    </w:div>
    <w:div w:id="1237057627">
      <w:bodyDiv w:val="1"/>
      <w:marLeft w:val="0"/>
      <w:marRight w:val="0"/>
      <w:marTop w:val="0"/>
      <w:marBottom w:val="0"/>
      <w:divBdr>
        <w:top w:val="none" w:sz="0" w:space="0" w:color="auto"/>
        <w:left w:val="none" w:sz="0" w:space="0" w:color="auto"/>
        <w:bottom w:val="none" w:sz="0" w:space="0" w:color="auto"/>
        <w:right w:val="none" w:sz="0" w:space="0" w:color="auto"/>
      </w:divBdr>
    </w:div>
    <w:div w:id="1361079930">
      <w:bodyDiv w:val="1"/>
      <w:marLeft w:val="0"/>
      <w:marRight w:val="0"/>
      <w:marTop w:val="0"/>
      <w:marBottom w:val="0"/>
      <w:divBdr>
        <w:top w:val="none" w:sz="0" w:space="0" w:color="auto"/>
        <w:left w:val="none" w:sz="0" w:space="0" w:color="auto"/>
        <w:bottom w:val="none" w:sz="0" w:space="0" w:color="auto"/>
        <w:right w:val="none" w:sz="0" w:space="0" w:color="auto"/>
      </w:divBdr>
    </w:div>
    <w:div w:id="1372999317">
      <w:bodyDiv w:val="1"/>
      <w:marLeft w:val="0"/>
      <w:marRight w:val="0"/>
      <w:marTop w:val="0"/>
      <w:marBottom w:val="0"/>
      <w:divBdr>
        <w:top w:val="none" w:sz="0" w:space="0" w:color="auto"/>
        <w:left w:val="none" w:sz="0" w:space="0" w:color="auto"/>
        <w:bottom w:val="none" w:sz="0" w:space="0" w:color="auto"/>
        <w:right w:val="none" w:sz="0" w:space="0" w:color="auto"/>
      </w:divBdr>
      <w:divsChild>
        <w:div w:id="377898915">
          <w:marLeft w:val="0"/>
          <w:marRight w:val="0"/>
          <w:marTop w:val="0"/>
          <w:marBottom w:val="0"/>
          <w:divBdr>
            <w:top w:val="none" w:sz="0" w:space="0" w:color="auto"/>
            <w:left w:val="none" w:sz="0" w:space="0" w:color="auto"/>
            <w:bottom w:val="none" w:sz="0" w:space="0" w:color="auto"/>
            <w:right w:val="none" w:sz="0" w:space="0" w:color="auto"/>
          </w:divBdr>
          <w:divsChild>
            <w:div w:id="302004982">
              <w:marLeft w:val="0"/>
              <w:marRight w:val="0"/>
              <w:marTop w:val="0"/>
              <w:marBottom w:val="0"/>
              <w:divBdr>
                <w:top w:val="none" w:sz="0" w:space="0" w:color="auto"/>
                <w:left w:val="none" w:sz="0" w:space="0" w:color="auto"/>
                <w:bottom w:val="none" w:sz="0" w:space="0" w:color="auto"/>
                <w:right w:val="none" w:sz="0" w:space="0" w:color="auto"/>
              </w:divBdr>
              <w:divsChild>
                <w:div w:id="833225311">
                  <w:marLeft w:val="0"/>
                  <w:marRight w:val="0"/>
                  <w:marTop w:val="0"/>
                  <w:marBottom w:val="0"/>
                  <w:divBdr>
                    <w:top w:val="none" w:sz="0" w:space="0" w:color="auto"/>
                    <w:left w:val="none" w:sz="0" w:space="0" w:color="auto"/>
                    <w:bottom w:val="none" w:sz="0" w:space="0" w:color="auto"/>
                    <w:right w:val="none" w:sz="0" w:space="0" w:color="auto"/>
                  </w:divBdr>
                  <w:divsChild>
                    <w:div w:id="964430213">
                      <w:marLeft w:val="0"/>
                      <w:marRight w:val="0"/>
                      <w:marTop w:val="0"/>
                      <w:marBottom w:val="0"/>
                      <w:divBdr>
                        <w:top w:val="none" w:sz="0" w:space="0" w:color="auto"/>
                        <w:left w:val="none" w:sz="0" w:space="0" w:color="auto"/>
                        <w:bottom w:val="none" w:sz="0" w:space="0" w:color="auto"/>
                        <w:right w:val="none" w:sz="0" w:space="0" w:color="auto"/>
                      </w:divBdr>
                      <w:divsChild>
                        <w:div w:id="1979652569">
                          <w:marLeft w:val="0"/>
                          <w:marRight w:val="0"/>
                          <w:marTop w:val="0"/>
                          <w:marBottom w:val="0"/>
                          <w:divBdr>
                            <w:top w:val="none" w:sz="0" w:space="0" w:color="auto"/>
                            <w:left w:val="none" w:sz="0" w:space="0" w:color="auto"/>
                            <w:bottom w:val="none" w:sz="0" w:space="0" w:color="auto"/>
                            <w:right w:val="none" w:sz="0" w:space="0" w:color="auto"/>
                          </w:divBdr>
                          <w:divsChild>
                            <w:div w:id="1414430071">
                              <w:marLeft w:val="0"/>
                              <w:marRight w:val="0"/>
                              <w:marTop w:val="0"/>
                              <w:marBottom w:val="0"/>
                              <w:divBdr>
                                <w:top w:val="none" w:sz="0" w:space="0" w:color="auto"/>
                                <w:left w:val="none" w:sz="0" w:space="0" w:color="auto"/>
                                <w:bottom w:val="none" w:sz="0" w:space="0" w:color="auto"/>
                                <w:right w:val="none" w:sz="0" w:space="0" w:color="auto"/>
                              </w:divBdr>
                              <w:divsChild>
                                <w:div w:id="1559051767">
                                  <w:marLeft w:val="0"/>
                                  <w:marRight w:val="0"/>
                                  <w:marTop w:val="0"/>
                                  <w:marBottom w:val="0"/>
                                  <w:divBdr>
                                    <w:top w:val="none" w:sz="0" w:space="0" w:color="auto"/>
                                    <w:left w:val="none" w:sz="0" w:space="0" w:color="auto"/>
                                    <w:bottom w:val="none" w:sz="0" w:space="0" w:color="auto"/>
                                    <w:right w:val="none" w:sz="0" w:space="0" w:color="auto"/>
                                  </w:divBdr>
                                  <w:divsChild>
                                    <w:div w:id="1984651326">
                                      <w:marLeft w:val="0"/>
                                      <w:marRight w:val="0"/>
                                      <w:marTop w:val="0"/>
                                      <w:marBottom w:val="0"/>
                                      <w:divBdr>
                                        <w:top w:val="none" w:sz="0" w:space="0" w:color="auto"/>
                                        <w:left w:val="none" w:sz="0" w:space="0" w:color="auto"/>
                                        <w:bottom w:val="none" w:sz="0" w:space="0" w:color="auto"/>
                                        <w:right w:val="none" w:sz="0" w:space="0" w:color="auto"/>
                                      </w:divBdr>
                                      <w:divsChild>
                                        <w:div w:id="3422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558711">
      <w:bodyDiv w:val="1"/>
      <w:marLeft w:val="0"/>
      <w:marRight w:val="0"/>
      <w:marTop w:val="0"/>
      <w:marBottom w:val="0"/>
      <w:divBdr>
        <w:top w:val="none" w:sz="0" w:space="0" w:color="auto"/>
        <w:left w:val="none" w:sz="0" w:space="0" w:color="auto"/>
        <w:bottom w:val="none" w:sz="0" w:space="0" w:color="auto"/>
        <w:right w:val="none" w:sz="0" w:space="0" w:color="auto"/>
      </w:divBdr>
    </w:div>
    <w:div w:id="1455903384">
      <w:bodyDiv w:val="1"/>
      <w:marLeft w:val="0"/>
      <w:marRight w:val="0"/>
      <w:marTop w:val="0"/>
      <w:marBottom w:val="0"/>
      <w:divBdr>
        <w:top w:val="none" w:sz="0" w:space="0" w:color="auto"/>
        <w:left w:val="none" w:sz="0" w:space="0" w:color="auto"/>
        <w:bottom w:val="none" w:sz="0" w:space="0" w:color="auto"/>
        <w:right w:val="none" w:sz="0" w:space="0" w:color="auto"/>
      </w:divBdr>
    </w:div>
    <w:div w:id="1529947266">
      <w:bodyDiv w:val="1"/>
      <w:marLeft w:val="0"/>
      <w:marRight w:val="0"/>
      <w:marTop w:val="0"/>
      <w:marBottom w:val="0"/>
      <w:divBdr>
        <w:top w:val="none" w:sz="0" w:space="0" w:color="auto"/>
        <w:left w:val="none" w:sz="0" w:space="0" w:color="auto"/>
        <w:bottom w:val="none" w:sz="0" w:space="0" w:color="auto"/>
        <w:right w:val="none" w:sz="0" w:space="0" w:color="auto"/>
      </w:divBdr>
    </w:div>
    <w:div w:id="1652906134">
      <w:bodyDiv w:val="1"/>
      <w:marLeft w:val="0"/>
      <w:marRight w:val="0"/>
      <w:marTop w:val="0"/>
      <w:marBottom w:val="0"/>
      <w:divBdr>
        <w:top w:val="none" w:sz="0" w:space="0" w:color="auto"/>
        <w:left w:val="none" w:sz="0" w:space="0" w:color="auto"/>
        <w:bottom w:val="none" w:sz="0" w:space="0" w:color="auto"/>
        <w:right w:val="none" w:sz="0" w:space="0" w:color="auto"/>
      </w:divBdr>
    </w:div>
    <w:div w:id="1669407844">
      <w:bodyDiv w:val="1"/>
      <w:marLeft w:val="0"/>
      <w:marRight w:val="0"/>
      <w:marTop w:val="0"/>
      <w:marBottom w:val="0"/>
      <w:divBdr>
        <w:top w:val="none" w:sz="0" w:space="0" w:color="auto"/>
        <w:left w:val="none" w:sz="0" w:space="0" w:color="auto"/>
        <w:bottom w:val="none" w:sz="0" w:space="0" w:color="auto"/>
        <w:right w:val="none" w:sz="0" w:space="0" w:color="auto"/>
      </w:divBdr>
    </w:div>
    <w:div w:id="1700080373">
      <w:bodyDiv w:val="1"/>
      <w:marLeft w:val="0"/>
      <w:marRight w:val="0"/>
      <w:marTop w:val="0"/>
      <w:marBottom w:val="0"/>
      <w:divBdr>
        <w:top w:val="none" w:sz="0" w:space="0" w:color="auto"/>
        <w:left w:val="none" w:sz="0" w:space="0" w:color="auto"/>
        <w:bottom w:val="none" w:sz="0" w:space="0" w:color="auto"/>
        <w:right w:val="none" w:sz="0" w:space="0" w:color="auto"/>
      </w:divBdr>
    </w:div>
    <w:div w:id="1726369199">
      <w:bodyDiv w:val="1"/>
      <w:marLeft w:val="0"/>
      <w:marRight w:val="0"/>
      <w:marTop w:val="0"/>
      <w:marBottom w:val="0"/>
      <w:divBdr>
        <w:top w:val="none" w:sz="0" w:space="0" w:color="auto"/>
        <w:left w:val="none" w:sz="0" w:space="0" w:color="auto"/>
        <w:bottom w:val="none" w:sz="0" w:space="0" w:color="auto"/>
        <w:right w:val="none" w:sz="0" w:space="0" w:color="auto"/>
      </w:divBdr>
    </w:div>
    <w:div w:id="1764952292">
      <w:bodyDiv w:val="1"/>
      <w:marLeft w:val="0"/>
      <w:marRight w:val="0"/>
      <w:marTop w:val="0"/>
      <w:marBottom w:val="0"/>
      <w:divBdr>
        <w:top w:val="none" w:sz="0" w:space="0" w:color="auto"/>
        <w:left w:val="none" w:sz="0" w:space="0" w:color="auto"/>
        <w:bottom w:val="none" w:sz="0" w:space="0" w:color="auto"/>
        <w:right w:val="none" w:sz="0" w:space="0" w:color="auto"/>
      </w:divBdr>
    </w:div>
    <w:div w:id="1946882166">
      <w:bodyDiv w:val="1"/>
      <w:marLeft w:val="0"/>
      <w:marRight w:val="0"/>
      <w:marTop w:val="0"/>
      <w:marBottom w:val="0"/>
      <w:divBdr>
        <w:top w:val="none" w:sz="0" w:space="0" w:color="auto"/>
        <w:left w:val="none" w:sz="0" w:space="0" w:color="auto"/>
        <w:bottom w:val="none" w:sz="0" w:space="0" w:color="auto"/>
        <w:right w:val="none" w:sz="0" w:space="0" w:color="auto"/>
      </w:divBdr>
    </w:div>
    <w:div w:id="1980333892">
      <w:bodyDiv w:val="1"/>
      <w:marLeft w:val="0"/>
      <w:marRight w:val="0"/>
      <w:marTop w:val="0"/>
      <w:marBottom w:val="0"/>
      <w:divBdr>
        <w:top w:val="none" w:sz="0" w:space="0" w:color="auto"/>
        <w:left w:val="none" w:sz="0" w:space="0" w:color="auto"/>
        <w:bottom w:val="none" w:sz="0" w:space="0" w:color="auto"/>
        <w:right w:val="none" w:sz="0" w:space="0" w:color="auto"/>
      </w:divBdr>
    </w:div>
    <w:div w:id="2082175378">
      <w:bodyDiv w:val="1"/>
      <w:marLeft w:val="0"/>
      <w:marRight w:val="0"/>
      <w:marTop w:val="0"/>
      <w:marBottom w:val="0"/>
      <w:divBdr>
        <w:top w:val="none" w:sz="0" w:space="0" w:color="auto"/>
        <w:left w:val="none" w:sz="0" w:space="0" w:color="auto"/>
        <w:bottom w:val="none" w:sz="0" w:space="0" w:color="auto"/>
        <w:right w:val="none" w:sz="0" w:space="0" w:color="auto"/>
      </w:divBdr>
    </w:div>
    <w:div w:id="20826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riigiakadeemia.ee/enrol/index.php?id=236" TargetMode="External"/><Relationship Id="rId18" Type="http://schemas.openxmlformats.org/officeDocument/2006/relationships/hyperlink" Target="https://www.keeleamet.ee/keeleameti-tegevused-ja-eesmargid/keeleseaduse-ja-teiste-keeleoskust-ja-keelekasutust-3" TargetMode="External"/><Relationship Id="rId26" Type="http://schemas.openxmlformats.org/officeDocument/2006/relationships/hyperlink" Target="https://ti.ee/sites/default/files/documents/2025-04/vaarteod_2012-2024_0.xlsx" TargetMode="External"/><Relationship Id="rId3" Type="http://schemas.openxmlformats.org/officeDocument/2006/relationships/customXml" Target="../customXml/item3.xml"/><Relationship Id="rId21" Type="http://schemas.openxmlformats.org/officeDocument/2006/relationships/hyperlink" Target="https://www.riigiteataja.ee/en/eli/ee/504012016003/consolide/current" TargetMode="External"/><Relationship Id="rId7" Type="http://schemas.openxmlformats.org/officeDocument/2006/relationships/settings" Target="settings.xml"/><Relationship Id="rId12" Type="http://schemas.openxmlformats.org/officeDocument/2006/relationships/hyperlink" Target="https://www.mkm.ee/too-ja-vordsed-voimalused/vordsed-voimalused-ja-sooline-vordoiguslikkus/palgapeegel" TargetMode="External"/><Relationship Id="rId17" Type="http://schemas.openxmlformats.org/officeDocument/2006/relationships/hyperlink" Target="https://humanrights.ee/en/topics-main/diversity-and-inclusion/mitmekesise-tookoha-margis/" TargetMode="External"/><Relationship Id="rId25" Type="http://schemas.openxmlformats.org/officeDocument/2006/relationships/hyperlink" Target="https://ti.ee/sites/default/files/documents/2025-04/T%C3%B6%C3%B6%C3%B5nnetused%2C%20kutsehaigestumised%2C%20t%C3%B6%C3%B6st%20p%C3%B5hjustatud%20haigestumised%20tabelina%201995-2024_0.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umanrights.ee/en/topics-main/diversity-and-inclusion/charter/" TargetMode="External"/><Relationship Id="rId20" Type="http://schemas.openxmlformats.org/officeDocument/2006/relationships/hyperlink" Target="https://www.ti.ee/sites/default/files/documents/2025-04/Yearbook%20of%20the%20Labour%20Inspectorate%202024.pdf" TargetMode="External"/><Relationship Id="rId29" Type="http://schemas.openxmlformats.org/officeDocument/2006/relationships/hyperlink" Target="https://ti.ee/sites/default/files/documents/2024-01/P%C3%B5llumajandussektori%20S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lgad.stat.ee/" TargetMode="External"/><Relationship Id="rId24" Type="http://schemas.openxmlformats.org/officeDocument/2006/relationships/hyperlink" Target="https://www.ti.ee/asutus-uudised-ja-kontaktid/kontakt/statistik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3-web-1a.tehik.ee/vordsuskeskus-live-web-prd/s3fs-public/2023-10/soolise_vordoiguslikkuse_monitooring_2021._lopparuanne.pdf" TargetMode="External"/><Relationship Id="rId23" Type="http://schemas.openxmlformats.org/officeDocument/2006/relationships/hyperlink" Target="https://www.riigiteataja.ee/en/eli/ee/520032019007/consolide/current" TargetMode="External"/><Relationship Id="rId28" Type="http://schemas.openxmlformats.org/officeDocument/2006/relationships/hyperlink" Target="https://ti.ee/en/government-agency-news-and-contacts/contacts/yearbook-labour-inspectorate" TargetMode="External"/><Relationship Id="rId10" Type="http://schemas.openxmlformats.org/officeDocument/2006/relationships/endnotes" Target="endnotes.xml"/><Relationship Id="rId19" Type="http://schemas.openxmlformats.org/officeDocument/2006/relationships/hyperlink" Target="https://www.ti.ee/en/government-agency-news-and-contacts/statistics/annual-reports-work-environmen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km.ee/sites/default/files/documents/2024-11/EHW%20L%C3%95PPRAPORT%202024.pdf" TargetMode="External"/><Relationship Id="rId22" Type="http://schemas.openxmlformats.org/officeDocument/2006/relationships/hyperlink" Target="https://www.riigiteataja.ee/en/eli/ee/527032019002/consolide/current" TargetMode="External"/><Relationship Id="rId27" Type="http://schemas.openxmlformats.org/officeDocument/2006/relationships/hyperlink" Target="https://ti.ee/sites/default/files/documents/2025-05/TI%20koosseis%2012.05.2025.pdf" TargetMode="External"/><Relationship Id="rId30" Type="http://schemas.openxmlformats.org/officeDocument/2006/relationships/hyperlink" Target="https://www.pria.ee/infokeskus/tingimuslikkus"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volinik.ee/en/informational-materials.html" TargetMode="External"/><Relationship Id="rId2" Type="http://schemas.openxmlformats.org/officeDocument/2006/relationships/hyperlink" Target="https://www.volinik.ee/en/gender-equality.html" TargetMode="External"/><Relationship Id="rId1" Type="http://schemas.openxmlformats.org/officeDocument/2006/relationships/hyperlink" Target="https://www.volinik.ee/en/faq.html" TargetMode="External"/><Relationship Id="rId6" Type="http://schemas.openxmlformats.org/officeDocument/2006/relationships/hyperlink" Target="https://www.fin.ee/riigihaldus-ja-avalik-teenistus-kinnisvara/riigihaldus/avaliku-sektori-statistika#ametnike-palgaandmed" TargetMode="External"/><Relationship Id="rId5" Type="http://schemas.openxmlformats.org/officeDocument/2006/relationships/hyperlink" Target="https://www.ti.ee/sites/default/files/documents/2022-08/Annual%20Report%20of%20Work%20Environment%202021.pdf" TargetMode="External"/><Relationship Id="rId4" Type="http://schemas.openxmlformats.org/officeDocument/2006/relationships/hyperlink" Target="https://www.volinik.ee/en.html"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1312e7-342d-474b-8002-3aa91259f2e5">
      <Terms xmlns="http://schemas.microsoft.com/office/infopath/2007/PartnerControls"/>
    </lcf76f155ced4ddcb4097134ff3c332f>
    <TaxCatchAll xmlns="9b483750-598d-46a0-877d-052f8f804d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AFBA1EEB004347933B3DB32B580E2B" ma:contentTypeVersion="13" ma:contentTypeDescription="Create a new document." ma:contentTypeScope="" ma:versionID="c533b1a4951ceb48e334dd8086fd09d7">
  <xsd:schema xmlns:xsd="http://www.w3.org/2001/XMLSchema" xmlns:xs="http://www.w3.org/2001/XMLSchema" xmlns:p="http://schemas.microsoft.com/office/2006/metadata/properties" xmlns:ns2="811312e7-342d-474b-8002-3aa91259f2e5" xmlns:ns3="9b483750-598d-46a0-877d-052f8f804d23" targetNamespace="http://schemas.microsoft.com/office/2006/metadata/properties" ma:root="true" ma:fieldsID="73c0a1bdb5eda494167436ebda49b860" ns2:_="" ns3:_="">
    <xsd:import namespace="811312e7-342d-474b-8002-3aa91259f2e5"/>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312e7-342d-474b-8002-3aa91259f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4379dc-8c3b-4184-a78c-dba8af55d2fc}"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F8F43-E255-43FD-BD9A-751C1983F9DC}">
  <ds:schemaRefs>
    <ds:schemaRef ds:uri="http://schemas.microsoft.com/sharepoint/v3/contenttype/forms"/>
  </ds:schemaRefs>
</ds:datastoreItem>
</file>

<file path=customXml/itemProps2.xml><?xml version="1.0" encoding="utf-8"?>
<ds:datastoreItem xmlns:ds="http://schemas.openxmlformats.org/officeDocument/2006/customXml" ds:itemID="{69D16ED4-4889-4AC0-8C53-130A93078D3D}">
  <ds:schemaRefs>
    <ds:schemaRef ds:uri="http://schemas.microsoft.com/office/2006/metadata/properties"/>
    <ds:schemaRef ds:uri="http://schemas.microsoft.com/office/infopath/2007/PartnerControls"/>
    <ds:schemaRef ds:uri="811312e7-342d-474b-8002-3aa91259f2e5"/>
    <ds:schemaRef ds:uri="9b483750-598d-46a0-877d-052f8f804d23"/>
  </ds:schemaRefs>
</ds:datastoreItem>
</file>

<file path=customXml/itemProps3.xml><?xml version="1.0" encoding="utf-8"?>
<ds:datastoreItem xmlns:ds="http://schemas.openxmlformats.org/officeDocument/2006/customXml" ds:itemID="{F37E392B-D023-42BE-870A-197B165E994B}">
  <ds:schemaRefs>
    <ds:schemaRef ds:uri="http://schemas.openxmlformats.org/officeDocument/2006/bibliography"/>
  </ds:schemaRefs>
</ds:datastoreItem>
</file>

<file path=customXml/itemProps4.xml><?xml version="1.0" encoding="utf-8"?>
<ds:datastoreItem xmlns:ds="http://schemas.openxmlformats.org/officeDocument/2006/customXml" ds:itemID="{0A9DE713-1B56-47D2-A228-87A808C1D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312e7-342d-474b-8002-3aa91259f2e5"/>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21</Pages>
  <Words>8319</Words>
  <Characters>48254</Characters>
  <Application>Microsoft Office Word</Application>
  <DocSecurity>0</DocSecurity>
  <Lines>402</Lines>
  <Paragraphs>112</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56461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Tõnismaa</dc:creator>
  <cp:keywords/>
  <dc:description/>
  <cp:lastModifiedBy>Maria-Helena Rahumets - MKM</cp:lastModifiedBy>
  <cp:revision>233</cp:revision>
  <cp:lastPrinted>2017-11-27T11:54:00Z</cp:lastPrinted>
  <dcterms:created xsi:type="dcterms:W3CDTF">2025-08-07T07:47:00Z</dcterms:created>
  <dcterms:modified xsi:type="dcterms:W3CDTF">2025-08-14T07:53:00Z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0x01010054AFBA1EEB004347933B3DB32B580E2B</vt:lpwstr>
  </property>
  <property fmtid="{D5CDD505-2E9C-101B-9397-08002B2CF9AE}" pid="3" name="Order">
    <vt:r8>3867800</vt:r8>
  </property>
  <property fmtid="{D5CDD505-2E9C-101B-9397-08002B2CF9AE}" pid="4" name="MSIP_Label_defa4170-0d19-0005-0004-bc88714345d2_Enabled">
    <vt:lpwstr>true</vt:lpwstr>
  </property>
  <property fmtid="{D5CDD505-2E9C-101B-9397-08002B2CF9AE}" pid="5" name="MSIP_Label_defa4170-0d19-0005-0004-bc88714345d2_SetDate">
    <vt:lpwstr>2025-08-07T06:40:56Z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6b8f6fb1-01f3-475d-8e1a-c69a65a205d2</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y fmtid="{D5CDD505-2E9C-101B-9397-08002B2CF9AE}" pid="12" name="MediaServiceImageTags">
    <vt:lpwstr/>
  </property>
</Properties>
</file>